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13CE9" w14:textId="77777777" w:rsidR="007309FD" w:rsidRDefault="007309FD">
      <w:pPr>
        <w:pStyle w:val="Header"/>
        <w:tabs>
          <w:tab w:val="clear" w:pos="4820"/>
          <w:tab w:val="clear" w:pos="9639"/>
          <w:tab w:val="right" w:pos="5954"/>
        </w:tabs>
        <w:spacing w:after="240" w:line="240" w:lineRule="exact"/>
        <w:jc w:val="right"/>
        <w:rPr>
          <w:rFonts w:ascii="Calibri" w:eastAsiaTheme="minorHAnsi" w:hAnsi="Calibri" w:cstheme="minorBidi"/>
          <w:b/>
          <w:bCs/>
          <w:color w:val="00558C"/>
          <w:sz w:val="24"/>
          <w:szCs w:val="24"/>
          <w:lang w:eastAsia="en-US"/>
        </w:rPr>
      </w:pPr>
    </w:p>
    <w:p w14:paraId="7BC13CEA" w14:textId="631F1BDF" w:rsidR="007309FD" w:rsidRDefault="00213240">
      <w:pPr>
        <w:pStyle w:val="Header"/>
        <w:tabs>
          <w:tab w:val="clear" w:pos="4820"/>
          <w:tab w:val="clear" w:pos="9639"/>
          <w:tab w:val="right" w:pos="5954"/>
        </w:tabs>
        <w:spacing w:after="240"/>
        <w:jc w:val="right"/>
        <w:rPr>
          <w:rFonts w:ascii="Calibri" w:hAnsi="Calibri"/>
          <w:b/>
          <w:bCs/>
          <w:color w:val="00558C"/>
          <w:sz w:val="24"/>
          <w:szCs w:val="24"/>
        </w:rPr>
      </w:pPr>
      <w:r>
        <w:rPr>
          <w:rFonts w:ascii="Calibri" w:hAnsi="Calibri"/>
          <w:b/>
          <w:bCs/>
          <w:color w:val="00558C"/>
          <w:sz w:val="24"/>
          <w:szCs w:val="24"/>
        </w:rPr>
        <w:t xml:space="preserve">Input paper:  </w:t>
      </w:r>
      <w:r w:rsidRPr="00F57E40">
        <w:rPr>
          <w:rFonts w:ascii="Calibri" w:eastAsia="SimSun" w:hAnsi="Calibri" w:hint="eastAsia"/>
          <w:color w:val="00558C"/>
          <w:sz w:val="24"/>
          <w:szCs w:val="24"/>
          <w:lang w:val="en-US" w:eastAsia="zh-CN"/>
        </w:rPr>
        <w:t>ENG22</w:t>
      </w:r>
      <w:r w:rsidRPr="00F57E40">
        <w:rPr>
          <w:rFonts w:ascii="Calibri" w:hAnsi="Calibri"/>
          <w:color w:val="00558C"/>
          <w:sz w:val="24"/>
          <w:szCs w:val="24"/>
        </w:rPr>
        <w:t>-</w:t>
      </w:r>
      <w:r w:rsidR="00F57E40" w:rsidRPr="00F57E40">
        <w:rPr>
          <w:rFonts w:ascii="Calibri" w:hAnsi="Calibri"/>
          <w:color w:val="00558C"/>
          <w:sz w:val="24"/>
          <w:szCs w:val="24"/>
        </w:rPr>
        <w:t>3.1.1.3</w:t>
      </w:r>
    </w:p>
    <w:p w14:paraId="7BC13CEB" w14:textId="77777777" w:rsidR="007309FD" w:rsidRDefault="007309FD">
      <w:pPr>
        <w:pStyle w:val="BodyText"/>
        <w:tabs>
          <w:tab w:val="left" w:pos="2835"/>
        </w:tabs>
        <w:rPr>
          <w:rFonts w:ascii="Calibri" w:hAnsi="Calibri"/>
        </w:rPr>
      </w:pPr>
    </w:p>
    <w:p w14:paraId="7BC13CEC" w14:textId="77777777" w:rsidR="007309FD" w:rsidRDefault="00213240">
      <w:pPr>
        <w:pStyle w:val="BodyText"/>
        <w:tabs>
          <w:tab w:val="left" w:pos="2835"/>
        </w:tabs>
        <w:spacing w:after="0" w:line="216" w:lineRule="atLeast"/>
        <w:rPr>
          <w:rFonts w:ascii="Calibri" w:eastAsiaTheme="minorHAnsi" w:hAnsi="Calibri" w:cstheme="minorBidi"/>
          <w:b/>
          <w:bCs/>
          <w:color w:val="00558C"/>
          <w:sz w:val="24"/>
          <w:szCs w:val="24"/>
          <w:lang w:eastAsia="en-US"/>
        </w:rPr>
      </w:pPr>
      <w:r>
        <w:rPr>
          <w:rFonts w:ascii="Calibri" w:eastAsiaTheme="minorHAnsi" w:hAnsi="Calibri" w:cstheme="minorBidi"/>
          <w:b/>
          <w:bCs/>
          <w:color w:val="00558C"/>
          <w:sz w:val="24"/>
          <w:szCs w:val="24"/>
          <w:lang w:eastAsia="en-US"/>
        </w:rPr>
        <w:t>Input paper for the following Committee(s):</w:t>
      </w:r>
      <w:r>
        <w:rPr>
          <w:rFonts w:ascii="Calibri" w:eastAsiaTheme="minorHAnsi" w:hAnsi="Calibri" w:cstheme="minorBidi"/>
          <w:b/>
          <w:bCs/>
          <w:color w:val="00558C"/>
          <w:sz w:val="24"/>
          <w:szCs w:val="24"/>
          <w:lang w:eastAsia="en-US"/>
        </w:rPr>
        <w:tab/>
      </w:r>
      <w:r>
        <w:rPr>
          <w:rFonts w:ascii="Calibri" w:eastAsiaTheme="minorHAnsi" w:hAnsi="Calibri" w:cstheme="minorBidi"/>
          <w:b/>
          <w:bCs/>
          <w:color w:val="00558C"/>
          <w:sz w:val="24"/>
          <w:szCs w:val="24"/>
          <w:lang w:eastAsia="en-US"/>
        </w:rPr>
        <w:tab/>
        <w:t>Purpose of paper:</w:t>
      </w:r>
    </w:p>
    <w:p w14:paraId="7BC13CED" w14:textId="77777777" w:rsidR="007309FD" w:rsidRDefault="00213240">
      <w:pPr>
        <w:pStyle w:val="BodyText"/>
        <w:tabs>
          <w:tab w:val="left" w:pos="2835"/>
        </w:tabs>
        <w:spacing w:after="0" w:line="216" w:lineRule="atLeast"/>
        <w:rPr>
          <w:rFonts w:ascii="Calibri" w:eastAsiaTheme="minorHAnsi" w:hAnsi="Calibri" w:cstheme="minorBidi"/>
          <w:sz w:val="18"/>
          <w:szCs w:val="18"/>
          <w:lang w:eastAsia="en-US"/>
        </w:rPr>
      </w:pPr>
      <w:r>
        <w:rPr>
          <w:rFonts w:ascii="Calibri" w:eastAsiaTheme="minorHAnsi" w:hAnsi="Calibri" w:cstheme="minorBidi" w:hint="eastAsia"/>
          <w:sz w:val="18"/>
          <w:szCs w:val="18"/>
          <w:lang w:eastAsia="zh-CN"/>
        </w:rPr>
        <w:t>（</w:t>
      </w:r>
      <w:r>
        <w:rPr>
          <w:rFonts w:ascii="Calibri" w:eastAsiaTheme="minorHAnsi" w:hAnsi="Calibri" w:cstheme="minorBidi" w:hint="eastAsia"/>
          <w:sz w:val="18"/>
          <w:szCs w:val="18"/>
          <w:lang w:val="en-US" w:eastAsia="zh-CN"/>
        </w:rPr>
        <w:t>Select</w:t>
      </w:r>
      <w:r>
        <w:rPr>
          <w:rFonts w:ascii="Calibri" w:eastAsiaTheme="minorHAnsi" w:hAnsi="Calibri" w:cstheme="minorBidi"/>
          <w:sz w:val="18"/>
          <w:szCs w:val="18"/>
          <w:lang w:eastAsia="en-US"/>
        </w:rPr>
        <w:t xml:space="preserve"> as appropriate</w:t>
      </w:r>
      <w:r>
        <w:rPr>
          <w:rFonts w:ascii="Calibri" w:eastAsiaTheme="minorHAnsi" w:hAnsi="Calibri" w:cstheme="minorBidi" w:hint="eastAsia"/>
          <w:sz w:val="18"/>
          <w:szCs w:val="18"/>
          <w:lang w:eastAsia="zh-CN"/>
        </w:rPr>
        <w:t>）</w:t>
      </w:r>
      <w:r>
        <w:rPr>
          <w:rFonts w:ascii="Calibri" w:eastAsiaTheme="minorHAnsi" w:hAnsi="Calibri" w:cstheme="minorBidi"/>
          <w:sz w:val="18"/>
          <w:szCs w:val="18"/>
          <w:lang w:eastAsia="en-US"/>
        </w:rPr>
        <w:t xml:space="preserve"> </w:t>
      </w:r>
    </w:p>
    <w:p w14:paraId="7BC13CEE" w14:textId="77777777" w:rsidR="007309FD" w:rsidRDefault="00213240">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eastAsia="en-US"/>
            </w:rPr>
            <w:t>☐</w:t>
          </w:r>
        </w:sdtContent>
      </w:sdt>
      <w:r>
        <w:rPr>
          <w:rFonts w:ascii="Calibri" w:hAnsi="Calibri" w:cs="Arial"/>
          <w:sz w:val="24"/>
          <w:szCs w:val="24"/>
        </w:rPr>
        <w:t xml:space="preserve"> </w:t>
      </w:r>
      <w:r>
        <w:rPr>
          <w:rFonts w:ascii="Calibri" w:hAnsi="Calibri" w:cs="Arial"/>
        </w:rPr>
        <w:t>ARM</w:t>
      </w:r>
      <w:r>
        <w:rPr>
          <w:rFonts w:ascii="Calibri" w:hAnsi="Calibri" w:cs="Arial"/>
        </w:rPr>
        <w:tab/>
      </w:r>
      <w:r>
        <w:rPr>
          <w:rFonts w:ascii="Calibri" w:hAnsi="Calibri" w:cs="Arial" w:hint="eastAsia"/>
          <w:b/>
          <w:sz w:val="24"/>
          <w:szCs w:val="24"/>
        </w:rPr>
        <w:t>X</w:t>
      </w:r>
      <w:r>
        <w:rPr>
          <w:rFonts w:ascii="Calibri" w:eastAsia="SimSun" w:hAnsi="Calibri" w:cs="Arial" w:hint="eastAsia"/>
          <w:b/>
          <w:sz w:val="24"/>
          <w:szCs w:val="24"/>
          <w:lang w:val="en-US" w:eastAsia="zh-CN"/>
        </w:rPr>
        <w:t xml:space="preserve">  </w:t>
      </w:r>
      <w:r>
        <w:rPr>
          <w:rFonts w:ascii="Calibri" w:hAnsi="Calibri" w:cs="Arial"/>
        </w:rPr>
        <w:t>ENG</w:t>
      </w:r>
      <w:r>
        <w:rPr>
          <w:rFonts w:ascii="Calibri" w:hAnsi="Calibri" w:cs="Arial"/>
        </w:rPr>
        <w:tab/>
      </w:r>
      <w:r>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bookmarkEnd w:id="0"/>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hint="eastAsia"/>
          <w:b/>
          <w:sz w:val="24"/>
          <w:szCs w:val="24"/>
        </w:rPr>
        <w:t>X</w:t>
      </w:r>
      <w:r>
        <w:rPr>
          <w:rFonts w:ascii="Calibri" w:eastAsia="SimSun" w:hAnsi="Calibri" w:cs="Arial" w:hint="eastAsia"/>
          <w:b/>
          <w:sz w:val="24"/>
          <w:szCs w:val="24"/>
          <w:lang w:val="en-US" w:eastAsia="zh-CN"/>
        </w:rPr>
        <w:t xml:space="preserve">  </w:t>
      </w:r>
      <w:r>
        <w:rPr>
          <w:rFonts w:ascii="Calibri" w:hAnsi="Calibri" w:cs="Arial"/>
        </w:rPr>
        <w:t>Input</w:t>
      </w:r>
    </w:p>
    <w:p w14:paraId="7BC13CEF" w14:textId="77777777" w:rsidR="007309FD" w:rsidRDefault="00213240">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Pr>
              <w:rFonts w:ascii="MS Gothic" w:eastAsia="MS Gothic" w:hAnsi="MS Gothic" w:cs="Arial" w:hint="eastAsia"/>
              <w:b/>
              <w:lang w:eastAsia="en-US"/>
            </w:rPr>
            <w:t>☐</w:t>
          </w:r>
        </w:sdtContent>
      </w:sdt>
      <w:r>
        <w:rPr>
          <w:rFonts w:ascii="Calibri" w:hAnsi="Calibri" w:cs="Arial"/>
        </w:rPr>
        <w:t xml:space="preserve"> </w:t>
      </w:r>
      <w:r>
        <w:rPr>
          <w:rFonts w:ascii="Calibri" w:eastAsia="SimSun" w:hAnsi="Calibri" w:cs="Arial" w:hint="eastAsia"/>
          <w:lang w:val="en-US" w:eastAsia="zh-CN"/>
        </w:rPr>
        <w:t>DTEC</w:t>
      </w:r>
      <w:r>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VTS</w:t>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Pr>
              <w:rFonts w:ascii="MS Gothic" w:eastAsia="MS Gothic" w:hAnsi="MS Gothic" w:cs="Arial" w:hint="eastAsia"/>
              <w:b/>
              <w:lang w:eastAsia="en-US"/>
            </w:rPr>
            <w:t>☐</w:t>
          </w:r>
        </w:sdtContent>
      </w:sdt>
      <w:r>
        <w:rPr>
          <w:rFonts w:ascii="Calibri" w:hAnsi="Calibri" w:cs="Arial"/>
        </w:rPr>
        <w:t xml:space="preserve"> Information</w:t>
      </w:r>
    </w:p>
    <w:p w14:paraId="7BC13CF0" w14:textId="77777777" w:rsidR="007309FD" w:rsidRDefault="007309FD">
      <w:pPr>
        <w:pStyle w:val="BodyText"/>
        <w:tabs>
          <w:tab w:val="left" w:pos="2835"/>
        </w:tabs>
        <w:rPr>
          <w:rFonts w:ascii="Calibri" w:hAnsi="Calibri"/>
        </w:rPr>
      </w:pPr>
    </w:p>
    <w:p w14:paraId="7BC13CF1" w14:textId="77777777" w:rsidR="007309FD" w:rsidRDefault="00213240">
      <w:pPr>
        <w:pStyle w:val="BodyText"/>
        <w:tabs>
          <w:tab w:val="left" w:pos="2835"/>
        </w:tabs>
        <w:rPr>
          <w:rFonts w:ascii="Calibri" w:hAnsi="Calibri"/>
        </w:rPr>
      </w:pPr>
      <w:r>
        <w:rPr>
          <w:rFonts w:ascii="Calibri" w:eastAsiaTheme="minorHAnsi" w:hAnsi="Calibri" w:cstheme="minorBidi"/>
          <w:b/>
          <w:bCs/>
          <w:color w:val="00558C"/>
          <w:sz w:val="24"/>
          <w:szCs w:val="24"/>
          <w:lang w:eastAsia="en-US"/>
        </w:rPr>
        <w:t xml:space="preserve">Agenda item </w:t>
      </w:r>
      <w:r>
        <w:rPr>
          <w:rStyle w:val="FootnoteReference"/>
          <w:rFonts w:ascii="Calibri" w:hAnsi="Calibri"/>
          <w:sz w:val="22"/>
          <w:vertAlign w:val="superscript"/>
        </w:rPr>
        <w:footnoteReference w:id="1"/>
      </w:r>
      <w:r>
        <w:rPr>
          <w:rFonts w:ascii="Calibri" w:hAnsi="Calibri"/>
        </w:rPr>
        <w:tab/>
      </w:r>
      <w:r>
        <w:rPr>
          <w:rFonts w:ascii="Calibri" w:hAnsi="Calibri"/>
        </w:rPr>
        <w:tab/>
      </w:r>
      <w:r>
        <w:rPr>
          <w:rFonts w:ascii="Calibri" w:hAnsi="Calibri"/>
        </w:rPr>
        <w:tab/>
      </w:r>
      <w:r>
        <w:rPr>
          <w:rFonts w:ascii="Calibri" w:eastAsia="SimSun" w:hAnsi="Calibri" w:hint="eastAsia"/>
          <w:lang w:val="en-US" w:eastAsia="zh-CN"/>
        </w:rPr>
        <w:t xml:space="preserve"> </w:t>
      </w:r>
      <w:proofErr w:type="spellStart"/>
      <w:r>
        <w:rPr>
          <w:rFonts w:ascii="Calibri" w:hAnsi="Calibri"/>
        </w:rPr>
        <w:t>n.n</w:t>
      </w:r>
      <w:proofErr w:type="spellEnd"/>
    </w:p>
    <w:p w14:paraId="7BC13CF2" w14:textId="77777777" w:rsidR="007309FD" w:rsidRDefault="00213240">
      <w:pPr>
        <w:pStyle w:val="BodyText"/>
        <w:tabs>
          <w:tab w:val="left" w:pos="2835"/>
        </w:tabs>
        <w:rPr>
          <w:rFonts w:ascii="Calibri" w:hAnsi="Calibri"/>
          <w:lang w:val="en-US"/>
        </w:rPr>
      </w:pPr>
      <w:r>
        <w:rPr>
          <w:rFonts w:ascii="Calibri" w:eastAsiaTheme="minorHAnsi" w:hAnsi="Calibri" w:cstheme="minorBidi"/>
          <w:b/>
          <w:bCs/>
          <w:color w:val="00558C"/>
          <w:sz w:val="24"/>
          <w:szCs w:val="24"/>
          <w:lang w:eastAsia="en-US"/>
        </w:rPr>
        <w:t>Technical Domain / Task Number</w:t>
      </w:r>
      <w:r>
        <w:rPr>
          <w:rFonts w:ascii="Calibri" w:hAnsi="Calibri"/>
        </w:rPr>
        <w:tab/>
      </w:r>
      <w:r>
        <w:rPr>
          <w:rFonts w:ascii="Calibri" w:eastAsia="SimSun" w:hAnsi="Calibri" w:hint="eastAsia"/>
          <w:lang w:val="en-US" w:eastAsia="zh-CN"/>
        </w:rPr>
        <w:t xml:space="preserve"> Task 2.1.4</w:t>
      </w:r>
    </w:p>
    <w:p w14:paraId="7BC13CF3" w14:textId="77777777" w:rsidR="007309FD" w:rsidRDefault="00213240">
      <w:pPr>
        <w:pStyle w:val="BodyText"/>
        <w:tabs>
          <w:tab w:val="left" w:pos="2835"/>
        </w:tabs>
        <w:rPr>
          <w:rFonts w:ascii="Calibri" w:eastAsia="SimSun" w:hAnsi="Calibri"/>
          <w:lang w:val="en-US" w:eastAsia="zh-CN"/>
        </w:rPr>
      </w:pPr>
      <w:r>
        <w:rPr>
          <w:rFonts w:ascii="Calibri" w:eastAsiaTheme="minorHAnsi" w:hAnsi="Calibri" w:cstheme="minorBidi"/>
          <w:b/>
          <w:bCs/>
          <w:color w:val="00558C"/>
          <w:sz w:val="24"/>
          <w:szCs w:val="24"/>
          <w:lang w:eastAsia="en-US"/>
        </w:rPr>
        <w:t>Author(s) / Submitter(s)</w:t>
      </w:r>
      <w:r>
        <w:rPr>
          <w:rFonts w:ascii="Calibri" w:hAnsi="Calibri"/>
        </w:rPr>
        <w:tab/>
      </w:r>
      <w:r>
        <w:rPr>
          <w:rFonts w:ascii="Calibri" w:hAnsi="Calibri"/>
        </w:rPr>
        <w:tab/>
      </w:r>
      <w:r>
        <w:rPr>
          <w:rFonts w:ascii="Calibri" w:hAnsi="Calibri"/>
        </w:rPr>
        <w:tab/>
      </w:r>
      <w:r>
        <w:rPr>
          <w:rFonts w:ascii="Calibri" w:eastAsia="SimSun" w:hAnsi="Calibri" w:hint="eastAsia"/>
          <w:lang w:val="en-US" w:eastAsia="zh-CN"/>
        </w:rPr>
        <w:t xml:space="preserve"> China Maritime Safety Administration (China MSA)</w:t>
      </w:r>
    </w:p>
    <w:p w14:paraId="7BC13CF4" w14:textId="77777777" w:rsidR="007309FD" w:rsidRDefault="00213240">
      <w:pPr>
        <w:pStyle w:val="BodyText"/>
        <w:tabs>
          <w:tab w:val="left" w:pos="2835"/>
        </w:tabs>
        <w:rPr>
          <w:rFonts w:ascii="Calibri" w:hAnsi="Calibri"/>
        </w:rPr>
      </w:pPr>
      <w:r>
        <w:rPr>
          <w:rFonts w:ascii="Calibri" w:hAnsi="Calibri"/>
        </w:rPr>
        <w:tab/>
      </w:r>
      <w:r>
        <w:rPr>
          <w:rFonts w:ascii="Calibri" w:hAnsi="Calibri"/>
        </w:rPr>
        <w:tab/>
      </w:r>
      <w:r>
        <w:rPr>
          <w:rFonts w:ascii="Calibri" w:hAnsi="Calibri"/>
        </w:rPr>
        <w:tab/>
      </w:r>
    </w:p>
    <w:p w14:paraId="7BC13CF5" w14:textId="77777777" w:rsidR="007309FD" w:rsidRDefault="00213240">
      <w:pPr>
        <w:pStyle w:val="Title"/>
        <w:rPr>
          <w:rFonts w:ascii="Calibri" w:eastAsiaTheme="majorEastAsia" w:hAnsi="Calibri" w:cstheme="majorBidi"/>
          <w:caps/>
          <w:color w:val="00558C"/>
          <w:kern w:val="0"/>
          <w:sz w:val="28"/>
          <w:szCs w:val="24"/>
          <w:lang w:val="en-US" w:eastAsia="zh-CN"/>
        </w:rPr>
      </w:pPr>
      <w:bookmarkStart w:id="1" w:name="OLE_LINK6"/>
      <w:r>
        <w:rPr>
          <w:rFonts w:ascii="Calibri" w:eastAsiaTheme="majorEastAsia" w:hAnsi="Calibri" w:cstheme="majorBidi" w:hint="eastAsia"/>
          <w:caps/>
          <w:color w:val="00558C"/>
          <w:kern w:val="0"/>
          <w:sz w:val="28"/>
          <w:szCs w:val="24"/>
          <w:lang w:val="en-US" w:eastAsia="zh-CN"/>
        </w:rPr>
        <w:t xml:space="preserve"> </w:t>
      </w:r>
      <w:r>
        <w:rPr>
          <w:rFonts w:ascii="Arial Bold" w:eastAsia="Times New Roman" w:hAnsi="Arial Bold" w:hint="eastAsia"/>
          <w:caps/>
          <w:color w:val="00558C"/>
          <w:sz w:val="28"/>
          <w:lang w:val="en-US" w:eastAsia="zh-CN"/>
        </w:rPr>
        <w:t>Draft Guideline G1023 on Design of Leading Lines</w:t>
      </w:r>
    </w:p>
    <w:bookmarkEnd w:id="1"/>
    <w:p w14:paraId="7BC13CF6" w14:textId="77777777" w:rsidR="007309FD" w:rsidRDefault="00213240">
      <w:pPr>
        <w:pStyle w:val="Heading1"/>
        <w:keepLines/>
        <w:spacing w:after="200" w:line="240" w:lineRule="atLeast"/>
        <w:rPr>
          <w:rFonts w:eastAsiaTheme="majorEastAsia" w:cstheme="majorBidi"/>
          <w:bCs/>
          <w:color w:val="00558C"/>
          <w:kern w:val="0"/>
          <w:sz w:val="28"/>
          <w:szCs w:val="24"/>
          <w:lang w:eastAsia="en-US"/>
        </w:rPr>
      </w:pPr>
      <w:r>
        <w:rPr>
          <w:rFonts w:eastAsiaTheme="majorEastAsia" w:cstheme="majorBidi" w:hint="eastAsia"/>
          <w:bCs/>
          <w:color w:val="00558C"/>
          <w:kern w:val="0"/>
          <w:sz w:val="28"/>
          <w:szCs w:val="24"/>
          <w:lang w:val="en-US" w:eastAsia="zh-CN"/>
        </w:rPr>
        <w:t>summary</w:t>
      </w:r>
    </w:p>
    <w:p w14:paraId="7BC13CF7" w14:textId="77777777" w:rsidR="007309FD" w:rsidRDefault="00213240">
      <w:pPr>
        <w:pStyle w:val="BodyText"/>
        <w:rPr>
          <w:rFonts w:ascii="Calibri" w:eastAsia="SimSun" w:hAnsi="Calibri"/>
          <w:lang w:val="en-US" w:eastAsia="zh-CN"/>
        </w:rPr>
      </w:pPr>
      <w:bookmarkStart w:id="2" w:name="OLE_LINK1"/>
      <w:r>
        <w:rPr>
          <w:rFonts w:ascii="Calibri" w:eastAsia="SimSun" w:hAnsi="Calibri" w:hint="eastAsia"/>
          <w:lang w:val="en-US" w:eastAsia="zh-CN"/>
        </w:rPr>
        <w:t xml:space="preserve">Based on the discussion at the 21st session of the ENG Committee, China MSA continued the intersessional work with Estonian Transport Administration, revised the guideline and drafted the content to be moved to IALA Wiki for further review by the </w:t>
      </w:r>
      <w:proofErr w:type="gramStart"/>
      <w:r>
        <w:rPr>
          <w:rFonts w:ascii="Calibri" w:eastAsia="SimSun" w:hAnsi="Calibri" w:hint="eastAsia"/>
          <w:lang w:val="en-US" w:eastAsia="zh-CN"/>
        </w:rPr>
        <w:t>22th</w:t>
      </w:r>
      <w:proofErr w:type="gramEnd"/>
      <w:r>
        <w:rPr>
          <w:rFonts w:ascii="Calibri" w:eastAsia="SimSun" w:hAnsi="Calibri" w:hint="eastAsia"/>
          <w:lang w:val="en-US" w:eastAsia="zh-CN"/>
        </w:rPr>
        <w:t xml:space="preserve"> session of the Committee.</w:t>
      </w:r>
    </w:p>
    <w:bookmarkEnd w:id="2"/>
    <w:p w14:paraId="7BC13CF8" w14:textId="77777777" w:rsidR="007309FD" w:rsidRDefault="00213240">
      <w:pPr>
        <w:pStyle w:val="Heading2"/>
        <w:keepLines/>
        <w:tabs>
          <w:tab w:val="left" w:pos="567"/>
        </w:tabs>
        <w:spacing w:before="240" w:after="200" w:line="240" w:lineRule="atLeast"/>
        <w:ind w:right="709"/>
        <w:rPr>
          <w:rFonts w:eastAsiaTheme="majorEastAsia" w:cstheme="majorBidi"/>
          <w:color w:val="00558C"/>
          <w:kern w:val="0"/>
          <w:lang w:eastAsia="en-US"/>
        </w:rPr>
      </w:pPr>
      <w:r>
        <w:rPr>
          <w:rFonts w:eastAsiaTheme="majorEastAsia" w:cstheme="majorBidi"/>
          <w:color w:val="00558C"/>
          <w:kern w:val="0"/>
          <w:lang w:eastAsia="en-US"/>
        </w:rPr>
        <w:t>Purpose of the document</w:t>
      </w:r>
    </w:p>
    <w:p w14:paraId="7BC13CF9" w14:textId="77777777" w:rsidR="007309FD" w:rsidRDefault="00213240">
      <w:pPr>
        <w:pStyle w:val="BodyText"/>
        <w:rPr>
          <w:rFonts w:ascii="Calibri" w:eastAsia="SimSun" w:hAnsi="Calibri"/>
          <w:lang w:val="en-US" w:eastAsia="zh-CN"/>
        </w:rPr>
      </w:pPr>
      <w:r>
        <w:rPr>
          <w:rFonts w:ascii="Calibri" w:eastAsia="SimSun" w:hAnsi="Calibri" w:hint="eastAsia"/>
          <w:lang w:val="en-US" w:eastAsia="zh-CN"/>
        </w:rPr>
        <w:t xml:space="preserve">The attached document is the draft guideline relevant to the task </w:t>
      </w:r>
      <w:proofErr w:type="gramStart"/>
      <w:r>
        <w:rPr>
          <w:rFonts w:ascii="Calibri" w:eastAsia="SimSun" w:hAnsi="Calibri" w:hint="eastAsia"/>
          <w:lang w:val="en-US" w:eastAsia="zh-CN"/>
        </w:rPr>
        <w:t>of  updating</w:t>
      </w:r>
      <w:proofErr w:type="gramEnd"/>
      <w:r>
        <w:rPr>
          <w:rFonts w:ascii="Calibri" w:eastAsia="SimSun" w:hAnsi="Calibri" w:hint="eastAsia"/>
          <w:lang w:val="en-US" w:eastAsia="zh-CN"/>
        </w:rPr>
        <w:t xml:space="preserve"> the relevant IALA publications relating to leading lines, with the aim of pushing forward the task.</w:t>
      </w:r>
    </w:p>
    <w:p w14:paraId="7BC13CFA" w14:textId="77777777" w:rsidR="007309FD" w:rsidRDefault="00213240">
      <w:pPr>
        <w:pStyle w:val="Heading2"/>
        <w:keepLines/>
        <w:tabs>
          <w:tab w:val="left" w:pos="567"/>
        </w:tabs>
        <w:spacing w:before="240" w:after="200" w:line="240" w:lineRule="atLeast"/>
        <w:ind w:right="709"/>
        <w:rPr>
          <w:rFonts w:eastAsiaTheme="majorEastAsia" w:cstheme="majorBidi"/>
          <w:color w:val="00558C"/>
          <w:kern w:val="0"/>
          <w:lang w:eastAsia="en-US"/>
        </w:rPr>
      </w:pPr>
      <w:r>
        <w:rPr>
          <w:rFonts w:eastAsiaTheme="majorEastAsia" w:cstheme="majorBidi"/>
          <w:color w:val="00558C"/>
          <w:kern w:val="0"/>
          <w:lang w:eastAsia="en-US"/>
        </w:rPr>
        <w:t>Related documents</w:t>
      </w:r>
    </w:p>
    <w:p w14:paraId="7BC13CFB" w14:textId="77777777" w:rsidR="007309FD" w:rsidRDefault="00213240">
      <w:pPr>
        <w:pStyle w:val="References"/>
        <w:rPr>
          <w:rFonts w:ascii="Calibri" w:eastAsia="SimSun" w:hAnsi="Calibri"/>
          <w:lang w:val="en-US" w:eastAsia="zh-CN"/>
        </w:rPr>
      </w:pPr>
      <w:r>
        <w:rPr>
          <w:rFonts w:ascii="Calibri" w:hAnsi="Calibri" w:hint="eastAsia"/>
        </w:rPr>
        <w:t>IALA. (2005) Guideline G1023 The Design of Leading Lines</w:t>
      </w:r>
    </w:p>
    <w:p w14:paraId="7BC13CFC" w14:textId="77777777" w:rsidR="007309FD" w:rsidRDefault="00213240">
      <w:pPr>
        <w:pStyle w:val="Heading1"/>
        <w:keepLines/>
        <w:spacing w:after="200" w:line="240" w:lineRule="atLeast"/>
        <w:rPr>
          <w:rFonts w:eastAsiaTheme="majorEastAsia" w:cstheme="majorBidi"/>
          <w:bCs/>
          <w:color w:val="00558C"/>
          <w:kern w:val="0"/>
          <w:sz w:val="28"/>
          <w:szCs w:val="24"/>
          <w:lang w:val="en-US" w:eastAsia="zh-CN"/>
        </w:rPr>
      </w:pPr>
      <w:r>
        <w:rPr>
          <w:rFonts w:eastAsiaTheme="majorEastAsia" w:cstheme="majorBidi" w:hint="eastAsia"/>
          <w:bCs/>
          <w:color w:val="00558C"/>
          <w:kern w:val="0"/>
          <w:sz w:val="28"/>
          <w:szCs w:val="24"/>
          <w:lang w:val="en-US" w:eastAsia="zh-CN"/>
        </w:rPr>
        <w:t>background</w:t>
      </w:r>
    </w:p>
    <w:p w14:paraId="7BC13CFD" w14:textId="77777777" w:rsidR="007309FD" w:rsidRDefault="00213240">
      <w:pPr>
        <w:pStyle w:val="BodyText"/>
        <w:rPr>
          <w:rFonts w:ascii="Calibri" w:eastAsia="SimSun" w:hAnsi="Calibri"/>
          <w:lang w:val="en-US" w:eastAsia="zh-CN"/>
        </w:rPr>
      </w:pPr>
      <w:r>
        <w:rPr>
          <w:rFonts w:ascii="Calibri" w:eastAsia="SimSun" w:hAnsi="Calibri" w:hint="eastAsia"/>
          <w:lang w:val="en-US" w:eastAsia="zh-CN"/>
        </w:rPr>
        <w:t>Updating the relevant IALA publications relating to leading lines is a task of IALA 2025-2027 work plan, which is led by China MSA. At the ENG21 meeting, the Working Group reviewed the draft guideline. During the intersessional period, China MSA, together with Estonian Transport Administration, continued to revise the guideline.</w:t>
      </w:r>
    </w:p>
    <w:p w14:paraId="7BC13CFE" w14:textId="77777777" w:rsidR="007309FD" w:rsidRDefault="00213240">
      <w:pPr>
        <w:pStyle w:val="Heading1"/>
        <w:keepLines/>
        <w:spacing w:after="200" w:line="240" w:lineRule="atLeast"/>
        <w:rPr>
          <w:rFonts w:eastAsiaTheme="majorEastAsia" w:cstheme="majorBidi"/>
          <w:bCs/>
          <w:color w:val="00558C"/>
          <w:kern w:val="0"/>
          <w:sz w:val="28"/>
          <w:szCs w:val="24"/>
          <w:lang w:val="en-US" w:eastAsia="zh-CN"/>
        </w:rPr>
      </w:pPr>
      <w:r>
        <w:rPr>
          <w:rFonts w:eastAsiaTheme="majorEastAsia" w:cstheme="majorBidi" w:hint="eastAsia"/>
          <w:bCs/>
          <w:color w:val="00558C"/>
          <w:kern w:val="0"/>
          <w:sz w:val="28"/>
          <w:szCs w:val="24"/>
          <w:lang w:val="en-US" w:eastAsia="zh-CN"/>
        </w:rPr>
        <w:t>discussion</w:t>
      </w:r>
    </w:p>
    <w:p w14:paraId="7BC13CFF" w14:textId="77777777" w:rsidR="007309FD" w:rsidRDefault="00213240">
      <w:pPr>
        <w:pStyle w:val="Heading2"/>
        <w:keepLines/>
        <w:tabs>
          <w:tab w:val="left" w:pos="567"/>
        </w:tabs>
        <w:spacing w:before="240" w:after="200" w:line="240" w:lineRule="atLeast"/>
        <w:ind w:right="709"/>
        <w:rPr>
          <w:rFonts w:eastAsiaTheme="majorEastAsia"/>
          <w:color w:val="00558C"/>
          <w:kern w:val="0"/>
          <w:lang w:eastAsia="en-US"/>
        </w:rPr>
      </w:pPr>
      <w:r>
        <w:rPr>
          <w:rFonts w:eastAsiaTheme="majorEastAsia"/>
          <w:color w:val="00558C"/>
          <w:kern w:val="0"/>
          <w:lang w:eastAsia="en-US"/>
        </w:rPr>
        <w:t>Revision of the draft guideline</w:t>
      </w:r>
    </w:p>
    <w:p w14:paraId="7BC13D00" w14:textId="77777777" w:rsidR="007309FD" w:rsidRDefault="00213240">
      <w:pPr>
        <w:pStyle w:val="Heading3"/>
        <w:rPr>
          <w:rFonts w:ascii="Calibri" w:hAnsi="Calibri"/>
          <w:b/>
          <w:bCs/>
        </w:rPr>
      </w:pPr>
      <w:r>
        <w:rPr>
          <w:rFonts w:ascii="Calibri" w:eastAsia="SimSun" w:hAnsi="Calibri" w:hint="eastAsia"/>
          <w:b/>
          <w:bCs/>
          <w:lang w:val="en-US" w:eastAsia="zh-CN"/>
        </w:rPr>
        <w:t>Non-editorial Changes</w:t>
      </w:r>
    </w:p>
    <w:p w14:paraId="7BC13D01" w14:textId="77777777" w:rsidR="007309FD" w:rsidRDefault="00213240">
      <w:pPr>
        <w:pStyle w:val="BodyText"/>
        <w:numPr>
          <w:ilvl w:val="0"/>
          <w:numId w:val="16"/>
        </w:numPr>
        <w:rPr>
          <w:rFonts w:eastAsia="SimSun"/>
          <w:lang w:val="en-US" w:eastAsia="zh-CN"/>
        </w:rPr>
      </w:pPr>
      <w:r>
        <w:rPr>
          <w:rFonts w:ascii="Calibri" w:eastAsia="SimSun" w:hAnsi="Calibri" w:hint="eastAsia"/>
          <w:lang w:val="en-US" w:eastAsia="zh-CN"/>
        </w:rPr>
        <w:t xml:space="preserve">As multiple different names for leading marks appear in the draft guideline, </w:t>
      </w:r>
      <w:proofErr w:type="gramStart"/>
      <w:r>
        <w:rPr>
          <w:rFonts w:ascii="Calibri" w:eastAsia="SimSun" w:hAnsi="Calibri" w:hint="eastAsia"/>
          <w:lang w:val="en-US" w:eastAsia="zh-CN"/>
        </w:rPr>
        <w:t>in order to</w:t>
      </w:r>
      <w:proofErr w:type="gramEnd"/>
      <w:r>
        <w:rPr>
          <w:rFonts w:ascii="Calibri" w:eastAsia="SimSun" w:hAnsi="Calibri" w:hint="eastAsia"/>
          <w:lang w:val="en-US" w:eastAsia="zh-CN"/>
        </w:rPr>
        <w:t xml:space="preserve"> unify the terminology used in the guideline, opinions are solicited from all ENG delegates regarding all names mentioned in the guideline as well as proposed name put forward by the delegates, with a view to determining the final terminology for leading marks.</w:t>
      </w:r>
    </w:p>
    <w:p w14:paraId="7BC13D02" w14:textId="77777777" w:rsidR="007309FD" w:rsidRDefault="00213240">
      <w:pPr>
        <w:pStyle w:val="BodyText"/>
        <w:rPr>
          <w:rFonts w:eastAsia="SimSun"/>
          <w:lang w:val="en-US" w:eastAsia="zh-CN"/>
        </w:rPr>
      </w:pPr>
      <w:r>
        <w:rPr>
          <w:rFonts w:eastAsia="SimSun" w:hint="eastAsia"/>
          <w:lang w:val="en-US" w:eastAsia="zh-CN"/>
        </w:rPr>
        <w:lastRenderedPageBreak/>
        <w:t>Present options:</w:t>
      </w:r>
    </w:p>
    <w:p w14:paraId="7BC13D03" w14:textId="77777777" w:rsidR="007309FD" w:rsidRDefault="00213240">
      <w:pPr>
        <w:pStyle w:val="BodyText"/>
        <w:rPr>
          <w:rFonts w:eastAsia="SimSun"/>
          <w:lang w:val="en-US" w:eastAsia="zh-CN"/>
        </w:rPr>
      </w:pPr>
      <w:r>
        <w:rPr>
          <w:rFonts w:eastAsia="SimSun" w:hint="eastAsia"/>
          <w:lang w:val="en-US" w:eastAsia="zh-CN"/>
        </w:rPr>
        <w:t>-Front Lead/Read Lead (as presented)</w:t>
      </w:r>
    </w:p>
    <w:p w14:paraId="7BC13D04" w14:textId="77777777" w:rsidR="007309FD" w:rsidRDefault="00213240">
      <w:pPr>
        <w:pStyle w:val="BodyText"/>
        <w:rPr>
          <w:rFonts w:eastAsia="SimSun"/>
          <w:lang w:val="en-US" w:eastAsia="zh-CN"/>
        </w:rPr>
      </w:pPr>
      <w:r>
        <w:rPr>
          <w:rFonts w:eastAsia="SimSun" w:hint="eastAsia"/>
          <w:lang w:val="en-US" w:eastAsia="zh-CN"/>
        </w:rPr>
        <w:t>-Front Mark/Rear Mark</w:t>
      </w:r>
    </w:p>
    <w:p w14:paraId="7BC13D05" w14:textId="77777777" w:rsidR="007309FD" w:rsidRDefault="00213240">
      <w:pPr>
        <w:pStyle w:val="BodyText"/>
        <w:rPr>
          <w:rFonts w:eastAsia="SimSun"/>
          <w:lang w:val="en-US" w:eastAsia="zh-CN"/>
        </w:rPr>
      </w:pPr>
      <w:r>
        <w:rPr>
          <w:rFonts w:eastAsia="SimSun" w:hint="eastAsia"/>
          <w:lang w:val="en-US" w:eastAsia="zh-CN"/>
        </w:rPr>
        <w:t>-Front Tower/Rear Tower</w:t>
      </w:r>
    </w:p>
    <w:p w14:paraId="7BC13D06" w14:textId="77777777" w:rsidR="007309FD" w:rsidRDefault="00213240">
      <w:pPr>
        <w:pStyle w:val="BodyText"/>
        <w:rPr>
          <w:rFonts w:eastAsia="SimSun"/>
          <w:lang w:val="en-US" w:eastAsia="zh-CN"/>
        </w:rPr>
      </w:pPr>
      <w:r>
        <w:rPr>
          <w:rFonts w:eastAsia="SimSun" w:hint="eastAsia"/>
          <w:lang w:val="en-US" w:eastAsia="zh-CN"/>
        </w:rPr>
        <w:t xml:space="preserve">-Front Leading Mark/Rear Leading Mark. </w:t>
      </w:r>
    </w:p>
    <w:p w14:paraId="7BC13D07" w14:textId="77777777" w:rsidR="007309FD" w:rsidRDefault="00213240">
      <w:pPr>
        <w:pStyle w:val="BodyText"/>
        <w:rPr>
          <w:rFonts w:ascii="Calibri" w:eastAsia="SimSun" w:hAnsi="Calibri"/>
          <w:lang w:val="en-US" w:eastAsia="zh-CN"/>
        </w:rPr>
      </w:pPr>
      <w:r>
        <w:rPr>
          <w:rFonts w:ascii="Calibri" w:eastAsia="SimSun" w:hAnsi="Calibri" w:hint="eastAsia"/>
          <w:lang w:val="en-US" w:eastAsia="zh-CN"/>
        </w:rPr>
        <w:t xml:space="preserve">Based on the survey results, </w:t>
      </w:r>
      <w:r>
        <w:rPr>
          <w:rFonts w:ascii="Calibri" w:eastAsia="SimSun" w:hAnsi="Calibri"/>
          <w:b/>
          <w:bCs/>
          <w:lang w:val="en-US" w:eastAsia="zh-CN"/>
        </w:rPr>
        <w:t>‘</w:t>
      </w:r>
      <w:r>
        <w:rPr>
          <w:rFonts w:ascii="Calibri" w:eastAsia="SimSun" w:hAnsi="Calibri" w:hint="eastAsia"/>
          <w:b/>
          <w:bCs/>
          <w:lang w:val="en-US" w:eastAsia="zh-CN"/>
        </w:rPr>
        <w:t>Front Leading Mark/Rear Leading Mark</w:t>
      </w:r>
      <w:r>
        <w:rPr>
          <w:rFonts w:ascii="Calibri" w:eastAsia="SimSun" w:hAnsi="Calibri"/>
          <w:b/>
          <w:bCs/>
          <w:lang w:val="en-US" w:eastAsia="zh-CN"/>
        </w:rPr>
        <w:t>’</w:t>
      </w:r>
      <w:r>
        <w:rPr>
          <w:rFonts w:ascii="Calibri" w:eastAsia="SimSun" w:hAnsi="Calibri" w:hint="eastAsia"/>
          <w:b/>
          <w:bCs/>
          <w:lang w:val="en-US" w:eastAsia="zh-CN"/>
        </w:rPr>
        <w:t xml:space="preserve"> </w:t>
      </w:r>
      <w:r>
        <w:rPr>
          <w:rFonts w:ascii="Calibri" w:eastAsia="SimSun" w:hAnsi="Calibri" w:hint="eastAsia"/>
          <w:lang w:val="en-US" w:eastAsia="zh-CN"/>
        </w:rPr>
        <w:t xml:space="preserve">is confirmed as the standard term. </w:t>
      </w:r>
      <w:proofErr w:type="gramStart"/>
      <w:r>
        <w:rPr>
          <w:rFonts w:ascii="Calibri" w:eastAsia="SimSun" w:hAnsi="Calibri" w:hint="eastAsia"/>
          <w:lang w:val="en-US" w:eastAsia="zh-CN"/>
        </w:rPr>
        <w:t>Therefore</w:t>
      </w:r>
      <w:proofErr w:type="gramEnd"/>
      <w:r>
        <w:rPr>
          <w:rFonts w:ascii="Calibri" w:eastAsia="SimSun" w:hAnsi="Calibri" w:hint="eastAsia"/>
          <w:lang w:val="en-US" w:eastAsia="zh-CN"/>
        </w:rPr>
        <w:t xml:space="preserve"> all instances of the term in the guideline are replaced with </w:t>
      </w:r>
      <w:r>
        <w:rPr>
          <w:rFonts w:ascii="Calibri" w:eastAsia="SimSun" w:hAnsi="Calibri"/>
          <w:lang w:val="en-US" w:eastAsia="zh-CN"/>
        </w:rPr>
        <w:t>“</w:t>
      </w:r>
      <w:r>
        <w:rPr>
          <w:rFonts w:ascii="Calibri" w:eastAsia="SimSun" w:hAnsi="Calibri" w:hint="eastAsia"/>
          <w:lang w:val="en-US" w:eastAsia="zh-CN"/>
        </w:rPr>
        <w:t>leading mark</w:t>
      </w:r>
      <w:r>
        <w:rPr>
          <w:rFonts w:ascii="Calibri" w:eastAsia="SimSun" w:hAnsi="Calibri"/>
          <w:lang w:val="en-US" w:eastAsia="zh-CN"/>
        </w:rPr>
        <w:t>”</w:t>
      </w:r>
      <w:r>
        <w:rPr>
          <w:rFonts w:ascii="Calibri" w:eastAsia="SimSun" w:hAnsi="Calibri" w:hint="eastAsia"/>
          <w:lang w:val="en-US" w:eastAsia="zh-CN"/>
        </w:rPr>
        <w:t>.</w:t>
      </w:r>
    </w:p>
    <w:p w14:paraId="7BC13D08"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Given that this guideline focuses only on the design of leading line itself, not on </w:t>
      </w:r>
      <w:r>
        <w:rPr>
          <w:rFonts w:ascii="Calibri" w:eastAsia="SimSun" w:hAnsi="Calibri" w:hint="eastAsia"/>
          <w:lang w:val="en-US" w:eastAsia="zh-CN"/>
        </w:rPr>
        <w:t>channel</w:t>
      </w:r>
      <w:r>
        <w:rPr>
          <w:rFonts w:ascii="Calibri" w:eastAsia="SimSun" w:hAnsi="Calibri"/>
          <w:lang w:val="en-US" w:eastAsia="zh-CN"/>
        </w:rPr>
        <w:t xml:space="preserve"> design, the navigational factors related to leading line design in Chapter 3 “Background” are deleted and moved into IALA</w:t>
      </w:r>
      <w:r>
        <w:rPr>
          <w:rFonts w:ascii="Calibri" w:eastAsia="SimSun" w:hAnsi="Calibri" w:hint="eastAsia"/>
          <w:lang w:val="en-US" w:eastAsia="zh-CN"/>
        </w:rPr>
        <w:t xml:space="preserve"> </w:t>
      </w:r>
      <w:r>
        <w:rPr>
          <w:rFonts w:ascii="Calibri" w:eastAsia="SimSun" w:hAnsi="Calibri"/>
          <w:lang w:val="en-US" w:eastAsia="zh-CN"/>
        </w:rPr>
        <w:t>Wiki.</w:t>
      </w:r>
    </w:p>
    <w:p w14:paraId="7BC13D09"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Delete Chapter 4 ‘Background’ and move it to IALA</w:t>
      </w:r>
      <w:r>
        <w:rPr>
          <w:rFonts w:ascii="Calibri" w:eastAsia="SimSun" w:hAnsi="Calibri" w:hint="eastAsia"/>
          <w:lang w:val="en-US" w:eastAsia="zh-CN"/>
        </w:rPr>
        <w:t xml:space="preserve"> </w:t>
      </w:r>
      <w:r>
        <w:rPr>
          <w:rFonts w:ascii="Calibri" w:eastAsia="SimSun" w:hAnsi="Calibri"/>
          <w:lang w:val="en-US" w:eastAsia="zh-CN"/>
        </w:rPr>
        <w:t>Wiki because it describes how the IALA technical documents on leading line evolved.</w:t>
      </w:r>
    </w:p>
    <w:p w14:paraId="7BC13D0A"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The description in Chapter 3 “Background” stating that</w:t>
      </w:r>
      <w:r>
        <w:rPr>
          <w:rFonts w:ascii="Calibri" w:eastAsia="SimSun" w:hAnsi="Calibri" w:hint="eastAsia"/>
          <w:lang w:val="en-US" w:eastAsia="zh-CN"/>
        </w:rPr>
        <w:t xml:space="preserve"> </w:t>
      </w:r>
      <w:r>
        <w:rPr>
          <w:rFonts w:ascii="Calibri" w:eastAsia="SimSun" w:hAnsi="Calibri"/>
          <w:b/>
          <w:bCs/>
          <w:lang w:val="en-US" w:eastAsia="zh-CN"/>
        </w:rPr>
        <w:t>it will often be necessary to observe at least one of the leading marks or lights within the ‘acquisition area’</w:t>
      </w:r>
      <w:r>
        <w:rPr>
          <w:rFonts w:ascii="Calibri" w:eastAsia="SimSun" w:hAnsi="Calibri" w:hint="eastAsia"/>
          <w:lang w:val="en-US" w:eastAsia="zh-CN"/>
        </w:rPr>
        <w:t xml:space="preserve"> will remain unchanged. The sentence </w:t>
      </w:r>
      <w:r>
        <w:rPr>
          <w:rFonts w:ascii="Calibri" w:eastAsia="SimSun" w:hAnsi="Calibri"/>
          <w:b/>
          <w:bCs/>
          <w:lang w:val="en-US" w:eastAsia="zh-CN"/>
        </w:rPr>
        <w:t xml:space="preserve">“the mariner must be able to see both leading marks </w:t>
      </w:r>
      <w:proofErr w:type="gramStart"/>
      <w:r>
        <w:rPr>
          <w:rFonts w:ascii="Calibri" w:eastAsia="SimSun" w:hAnsi="Calibri"/>
          <w:b/>
          <w:bCs/>
          <w:lang w:val="en-US" w:eastAsia="zh-CN"/>
        </w:rPr>
        <w:t>or</w:t>
      </w:r>
      <w:proofErr w:type="gramEnd"/>
      <w:r>
        <w:rPr>
          <w:rFonts w:ascii="Calibri" w:eastAsia="SimSun" w:hAnsi="Calibri"/>
          <w:b/>
          <w:bCs/>
          <w:lang w:val="en-US" w:eastAsia="zh-CN"/>
        </w:rPr>
        <w:t xml:space="preserve"> lights within the ‘acquisition </w:t>
      </w:r>
      <w:proofErr w:type="spellStart"/>
      <w:r>
        <w:rPr>
          <w:rFonts w:ascii="Calibri" w:eastAsia="SimSun" w:hAnsi="Calibri"/>
          <w:b/>
          <w:bCs/>
          <w:lang w:val="en-US" w:eastAsia="zh-CN"/>
        </w:rPr>
        <w:t>area</w:t>
      </w:r>
      <w:proofErr w:type="gramStart"/>
      <w:r>
        <w:rPr>
          <w:rFonts w:ascii="Calibri" w:eastAsia="SimSun" w:hAnsi="Calibri"/>
          <w:b/>
          <w:bCs/>
          <w:lang w:val="en-US" w:eastAsia="zh-CN"/>
        </w:rPr>
        <w:t>’”</w:t>
      </w:r>
      <w:r>
        <w:rPr>
          <w:rFonts w:ascii="Calibri" w:eastAsia="SimSun" w:hAnsi="Calibri" w:hint="eastAsia"/>
          <w:lang w:val="en-US" w:eastAsia="zh-CN"/>
        </w:rPr>
        <w:t>should</w:t>
      </w:r>
      <w:proofErr w:type="spellEnd"/>
      <w:proofErr w:type="gramEnd"/>
      <w:r>
        <w:rPr>
          <w:rFonts w:ascii="Calibri" w:eastAsia="SimSun" w:hAnsi="Calibri" w:hint="eastAsia"/>
          <w:lang w:val="en-US" w:eastAsia="zh-CN"/>
        </w:rPr>
        <w:t xml:space="preserve"> be deleted. In actual navigation, vessels in the </w:t>
      </w:r>
      <w:r>
        <w:rPr>
          <w:rFonts w:ascii="Calibri" w:eastAsia="SimSun" w:hAnsi="Calibri"/>
          <w:lang w:val="en-US" w:eastAsia="zh-CN"/>
        </w:rPr>
        <w:t>‘acquisition area’</w:t>
      </w:r>
      <w:r>
        <w:rPr>
          <w:rFonts w:ascii="Calibri" w:eastAsia="SimSun" w:hAnsi="Calibri" w:hint="eastAsia"/>
          <w:lang w:val="en-US" w:eastAsia="zh-CN"/>
        </w:rPr>
        <w:t xml:space="preserve"> may be unable to observe both the front and rear leading marks simultaneously due to topographic obstruction or insufficient visibility, etc. </w:t>
      </w:r>
      <w:r>
        <w:rPr>
          <w:rFonts w:ascii="Calibri" w:eastAsia="SimSun" w:hAnsi="Calibri" w:hint="eastAsia"/>
          <w:lang w:val="en-US" w:eastAsia="zh-CN"/>
        </w:rPr>
        <w:t>“</w:t>
      </w:r>
      <w:r>
        <w:rPr>
          <w:rFonts w:ascii="Calibri" w:eastAsia="SimSun" w:hAnsi="Calibri" w:hint="eastAsia"/>
          <w:lang w:val="en-US" w:eastAsia="zh-CN"/>
        </w:rPr>
        <w:t>simultaneous visibility</w:t>
      </w:r>
      <w:r>
        <w:rPr>
          <w:rFonts w:ascii="Calibri" w:eastAsia="SimSun" w:hAnsi="Calibri" w:hint="eastAsia"/>
          <w:lang w:val="en-US" w:eastAsia="zh-CN"/>
        </w:rPr>
        <w:t>”</w:t>
      </w:r>
      <w:r>
        <w:rPr>
          <w:rFonts w:ascii="Calibri" w:eastAsia="SimSun" w:hAnsi="Calibri" w:hint="eastAsia"/>
          <w:lang w:val="en-US" w:eastAsia="zh-CN"/>
        </w:rPr>
        <w:t xml:space="preserve"> could result in an excessive</w:t>
      </w:r>
      <w:r>
        <w:rPr>
          <w:rFonts w:ascii="Calibri" w:eastAsia="SimSun" w:hAnsi="Calibri" w:hint="eastAsia"/>
          <w:lang w:val="en-US" w:eastAsia="zh-CN"/>
        </w:rPr>
        <w:t xml:space="preserve">ly large </w:t>
      </w:r>
      <w:r>
        <w:rPr>
          <w:rFonts w:ascii="Calibri" w:eastAsia="SimSun" w:hAnsi="Calibri"/>
          <w:lang w:val="en-US" w:eastAsia="zh-CN"/>
        </w:rPr>
        <w:t>acquisition area</w:t>
      </w:r>
      <w:r>
        <w:rPr>
          <w:rFonts w:ascii="Calibri" w:eastAsia="SimSun" w:hAnsi="Calibri" w:hint="eastAsia"/>
          <w:lang w:val="en-US" w:eastAsia="zh-CN"/>
        </w:rPr>
        <w:t xml:space="preserve"> for some waterways, thereby increasing design and construction costs.</w:t>
      </w:r>
    </w:p>
    <w:p w14:paraId="7BC13D0B" w14:textId="77777777" w:rsidR="007309FD" w:rsidRDefault="00213240">
      <w:pPr>
        <w:pStyle w:val="BodyText"/>
        <w:numPr>
          <w:ilvl w:val="0"/>
          <w:numId w:val="16"/>
        </w:numPr>
        <w:rPr>
          <w:rFonts w:ascii="Calibri" w:eastAsia="SimSun" w:hAnsi="Calibri"/>
          <w:lang w:val="en-US" w:eastAsia="zh-CN"/>
        </w:rPr>
      </w:pPr>
      <w:r>
        <w:rPr>
          <w:rFonts w:ascii="Calibri" w:eastAsia="SimSun" w:hAnsi="Calibri" w:hint="eastAsia"/>
          <w:lang w:val="en-US" w:eastAsia="zh-CN"/>
        </w:rPr>
        <w:t>Because all the calculations in this guideline are based on the useful segment of the leading line, so c</w:t>
      </w:r>
      <w:r>
        <w:rPr>
          <w:rFonts w:ascii="Calibri" w:eastAsia="SimSun" w:hAnsi="Calibri"/>
          <w:lang w:val="en-US" w:eastAsia="zh-CN"/>
        </w:rPr>
        <w:t>hange “Channel Segment” to “Useful Segment”, and “Channel Width W” to “Useful Channel Width” in Figure 3, Section 4.1.</w:t>
      </w:r>
    </w:p>
    <w:p w14:paraId="7BC13D0C"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Replace “Channel” with “Useful Segment” in the guideline.</w:t>
      </w:r>
      <w:r>
        <w:rPr>
          <w:rFonts w:ascii="Calibri" w:eastAsia="SimSun" w:hAnsi="Calibri" w:hint="eastAsia"/>
          <w:lang w:val="en-US" w:eastAsia="zh-CN"/>
        </w:rPr>
        <w:t xml:space="preserve"> The reason is as stated above.</w:t>
      </w:r>
    </w:p>
    <w:p w14:paraId="7BC13D0D"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Revise the reference datum for the definition of the observer’s height in Figure 6, Section 4.2, from “sea level” to “</w:t>
      </w:r>
      <w:r>
        <w:rPr>
          <w:rFonts w:ascii="Calibri" w:eastAsia="SimSun" w:hAnsi="Calibri" w:hint="eastAsia"/>
          <w:lang w:val="en-US" w:eastAsia="zh-CN"/>
        </w:rPr>
        <w:t>MHW or MLW</w:t>
      </w:r>
      <w:r>
        <w:rPr>
          <w:rFonts w:ascii="Calibri" w:eastAsia="SimSun" w:hAnsi="Calibri"/>
          <w:lang w:val="en-US" w:eastAsia="zh-CN"/>
        </w:rPr>
        <w:t xml:space="preserve">”, </w:t>
      </w:r>
      <w:r>
        <w:rPr>
          <w:rFonts w:ascii="Calibri" w:eastAsia="SimSun" w:hAnsi="Calibri" w:hint="eastAsia"/>
          <w:lang w:val="en-US" w:eastAsia="zh-CN"/>
        </w:rPr>
        <w:t xml:space="preserve">if not explicitly specified, it should default to MHW. Since leading marks are all designed based on the mean high </w:t>
      </w:r>
      <w:proofErr w:type="gramStart"/>
      <w:r>
        <w:rPr>
          <w:rFonts w:ascii="Calibri" w:eastAsia="SimSun" w:hAnsi="Calibri" w:hint="eastAsia"/>
          <w:lang w:val="en-US" w:eastAsia="zh-CN"/>
        </w:rPr>
        <w:t>water(</w:t>
      </w:r>
      <w:proofErr w:type="gramEnd"/>
      <w:r>
        <w:rPr>
          <w:rFonts w:ascii="Calibri" w:eastAsia="SimSun" w:hAnsi="Calibri" w:hint="eastAsia"/>
          <w:lang w:val="en-US" w:eastAsia="zh-CN"/>
        </w:rPr>
        <w:t>MHW) level. However, under certain special circumstances, such as when calculating the minimum vertical angle difference between the front and rear leading marks, the observer</w:t>
      </w:r>
      <w:r>
        <w:rPr>
          <w:rFonts w:ascii="Calibri" w:eastAsia="SimSun" w:hAnsi="Calibri"/>
          <w:lang w:val="en-US" w:eastAsia="zh-CN"/>
        </w:rPr>
        <w:t>’</w:t>
      </w:r>
      <w:r>
        <w:rPr>
          <w:rFonts w:ascii="Calibri" w:eastAsia="SimSun" w:hAnsi="Calibri" w:hint="eastAsia"/>
          <w:lang w:val="en-US" w:eastAsia="zh-CN"/>
        </w:rPr>
        <w:t>s height should be referenced to the mean low water (MLW) level to account for the worst-case scenario.</w:t>
      </w:r>
    </w:p>
    <w:p w14:paraId="7BC13D0E"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In Section 4.4, replace the required minimum illuminance at the eye of the observer under the two conditions of minor and substantial background lighting from </w:t>
      </w:r>
      <w:proofErr w:type="gramStart"/>
      <w:r>
        <w:rPr>
          <w:rFonts w:ascii="Calibri" w:eastAsia="SimSun" w:hAnsi="Calibri"/>
          <w:lang w:val="en-US" w:eastAsia="zh-CN"/>
        </w:rPr>
        <w:t>10  and</w:t>
      </w:r>
      <w:proofErr w:type="gramEnd"/>
      <w:r>
        <w:rPr>
          <w:rFonts w:ascii="Calibri" w:eastAsia="SimSun" w:hAnsi="Calibri"/>
          <w:lang w:val="en-US" w:eastAsia="zh-CN"/>
        </w:rPr>
        <w:t xml:space="preserve"> </w:t>
      </w:r>
      <w:proofErr w:type="gramStart"/>
      <w:r>
        <w:rPr>
          <w:rFonts w:ascii="Calibri" w:eastAsia="SimSun" w:hAnsi="Calibri"/>
          <w:lang w:val="en-US" w:eastAsia="zh-CN"/>
        </w:rPr>
        <w:t>100  with</w:t>
      </w:r>
      <w:proofErr w:type="gramEnd"/>
      <w:r>
        <w:rPr>
          <w:rFonts w:ascii="Calibri" w:eastAsia="SimSun" w:hAnsi="Calibri"/>
          <w:lang w:val="en-US" w:eastAsia="zh-CN"/>
        </w:rPr>
        <w:t xml:space="preserve"> </w:t>
      </w:r>
      <w:proofErr w:type="gramStart"/>
      <w:r>
        <w:rPr>
          <w:rFonts w:ascii="Calibri" w:eastAsia="SimSun" w:hAnsi="Calibri"/>
          <w:lang w:val="en-US" w:eastAsia="zh-CN"/>
        </w:rPr>
        <w:t>2  and</w:t>
      </w:r>
      <w:proofErr w:type="gramEnd"/>
      <w:r>
        <w:rPr>
          <w:rFonts w:ascii="Calibri" w:eastAsia="SimSun" w:hAnsi="Calibri"/>
          <w:lang w:val="en-US" w:eastAsia="zh-CN"/>
        </w:rPr>
        <w:t xml:space="preserve"> </w:t>
      </w:r>
      <w:proofErr w:type="gramStart"/>
      <w:r>
        <w:rPr>
          <w:rFonts w:ascii="Calibri" w:eastAsia="SimSun" w:hAnsi="Calibri"/>
          <w:lang w:val="en-US" w:eastAsia="zh-CN"/>
        </w:rPr>
        <w:t>20  respectively</w:t>
      </w:r>
      <w:proofErr w:type="gramEnd"/>
      <w:r>
        <w:rPr>
          <w:rFonts w:ascii="Calibri" w:eastAsia="SimSun" w:hAnsi="Calibri"/>
          <w:lang w:val="en-US" w:eastAsia="zh-CN"/>
        </w:rPr>
        <w:t xml:space="preserve">. This is to ensure that they are consistent with the minimum illuminance to use with different background luminance specified in Table 2 of IALA Guideline G1148 &lt;Determination of Required Luminous Intensity for Marine Signal Lights&gt;, as Table 2 was proven to be applicable to Leading Lights at the </w:t>
      </w:r>
      <w:proofErr w:type="gramStart"/>
      <w:r>
        <w:rPr>
          <w:rFonts w:ascii="Calibri" w:eastAsia="SimSun" w:hAnsi="Calibri"/>
          <w:lang w:val="en-US" w:eastAsia="zh-CN"/>
        </w:rPr>
        <w:t>21th</w:t>
      </w:r>
      <w:proofErr w:type="gramEnd"/>
      <w:r>
        <w:rPr>
          <w:rFonts w:ascii="Calibri" w:eastAsia="SimSun" w:hAnsi="Calibri"/>
          <w:lang w:val="en-US" w:eastAsia="zh-CN"/>
        </w:rPr>
        <w:t xml:space="preserve"> session of ENG Committee Meeting.</w:t>
      </w:r>
    </w:p>
    <w:p w14:paraId="7BC13D0F"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Revise the calculation formulae for the initial value of R in Section 5.1, changing </w:t>
      </w:r>
      <m:oMath>
        <m:sSub>
          <m:sSubPr>
            <m:ctrlPr>
              <w:rPr>
                <w:rFonts w:ascii="Cambria Math" w:hAnsi="Cambria Math" w:hint="eastAsia"/>
                <w:lang w:val="en-US" w:eastAsia="zh-CN"/>
              </w:rPr>
            </m:ctrlPr>
          </m:sSubPr>
          <m:e>
            <m:r>
              <m:rPr>
                <m:sty m:val="p"/>
              </m:rPr>
              <w:rPr>
                <w:rFonts w:ascii="Cambria Math" w:hAnsi="Cambria Math" w:hint="eastAsia"/>
                <w:lang w:val="en-US" w:eastAsia="zh-CN"/>
              </w:rPr>
              <m:t>R</m:t>
            </m:r>
          </m:e>
          <m:sub>
            <m:r>
              <m:rPr>
                <m:sty m:val="p"/>
              </m:rPr>
              <w:rPr>
                <w:rFonts w:ascii="Cambria Math" w:hAnsi="Cambria Math" w:hint="eastAsia"/>
                <w:lang w:val="en-US" w:eastAsia="zh-CN"/>
              </w:rPr>
              <m:t>initial</m:t>
            </m:r>
          </m:sub>
        </m:sSub>
        <m:r>
          <m:rPr>
            <m:sty m:val="p"/>
          </m:rPr>
          <w:rPr>
            <w:rFonts w:ascii="Cambria Math" w:hAnsi="Cambria Math" w:hint="eastAsia"/>
            <w:lang w:val="en-US" w:eastAsia="zh-CN"/>
          </w:rPr>
          <m:t>=</m:t>
        </m:r>
        <m:f>
          <m:fPr>
            <m:ctrlPr>
              <w:rPr>
                <w:rFonts w:ascii="Cambria Math" w:hAnsi="Cambria Math" w:hint="eastAsia"/>
                <w:lang w:val="en-US" w:eastAsia="zh-CN"/>
              </w:rPr>
            </m:ctrlPr>
          </m:fPr>
          <m:num>
            <m:d>
              <m:dPr>
                <m:ctrlPr>
                  <w:rPr>
                    <w:rFonts w:ascii="Cambria Math" w:hAnsi="Cambria Math" w:hint="eastAsia"/>
                    <w:lang w:val="en-US" w:eastAsia="zh-CN"/>
                  </w:rPr>
                </m:ctrlPr>
              </m:dPr>
              <m:e>
                <m:r>
                  <m:rPr>
                    <m:sty m:val="p"/>
                  </m:rPr>
                  <w:rPr>
                    <w:rFonts w:ascii="Cambria Math" w:hAnsi="Cambria Math" w:hint="eastAsia"/>
                    <w:lang w:val="en-US" w:eastAsia="zh-CN"/>
                  </w:rPr>
                  <m:t>a+C</m:t>
                </m:r>
              </m:e>
            </m:d>
          </m:num>
          <m:den>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1000</m:t>
                </m:r>
                <m:r>
                  <m:rPr>
                    <m:sty m:val="p"/>
                  </m:rPr>
                  <w:rPr>
                    <w:rFonts w:ascii="Cambria Math" w:hAnsi="Cambria Math" w:hint="eastAsia"/>
                    <w:lang w:val="en-US" w:eastAsia="zh-CN"/>
                  </w:rPr>
                  <m:t>*</m:t>
                </m:r>
                <m:f>
                  <m:fPr>
                    <m:type m:val="lin"/>
                    <m:ctrlPr>
                      <w:rPr>
                        <w:rFonts w:ascii="Cambria Math" w:hAnsi="Cambria Math" w:hint="eastAsia"/>
                        <w:lang w:val="en-US" w:eastAsia="zh-CN"/>
                      </w:rPr>
                    </m:ctrlPr>
                  </m:fPr>
                  <m:num>
                    <m:r>
                      <m:rPr>
                        <m:sty m:val="p"/>
                      </m:rPr>
                      <w:rPr>
                        <w:rFonts w:ascii="Cambria Math" w:hAnsi="Cambria Math" w:hint="eastAsia"/>
                        <w:lang w:val="en-US" w:eastAsia="zh-CN"/>
                      </w:rPr>
                      <m:t>W</m:t>
                    </m:r>
                  </m:num>
                  <m:den>
                    <m:d>
                      <m:dPr>
                        <m:ctrlPr>
                          <w:rPr>
                            <w:rFonts w:ascii="Cambria Math" w:hAnsi="Cambria Math" w:hint="eastAsia"/>
                            <w:lang w:val="en-US" w:eastAsia="zh-CN"/>
                          </w:rPr>
                        </m:ctrlPr>
                      </m:dPr>
                      <m:e>
                        <m:r>
                          <m:rPr>
                            <m:sty m:val="p"/>
                          </m:rPr>
                          <w:rPr>
                            <w:rFonts w:ascii="Cambria Math" w:hAnsi="Cambria Math" w:hint="eastAsia"/>
                            <w:lang w:val="en-US" w:eastAsia="zh-CN"/>
                          </w:rPr>
                          <m:t>3.4</m:t>
                        </m:r>
                        <m:r>
                          <m:rPr>
                            <m:sty m:val="p"/>
                          </m:rPr>
                          <w:rPr>
                            <w:rFonts w:ascii="Cambria Math" w:hAnsi="Cambria Math" w:hint="eastAsia"/>
                            <w:lang w:val="en-US" w:eastAsia="zh-CN"/>
                          </w:rPr>
                          <m:t>∙</m:t>
                        </m:r>
                        <m:d>
                          <m:dPr>
                            <m:ctrlPr>
                              <w:rPr>
                                <w:rFonts w:ascii="Cambria Math" w:hAnsi="Cambria Math" w:hint="eastAsia"/>
                                <w:lang w:val="en-US" w:eastAsia="zh-CN"/>
                              </w:rPr>
                            </m:ctrlPr>
                          </m:dPr>
                          <m:e>
                            <m:r>
                              <m:rPr>
                                <m:sty m:val="p"/>
                              </m:rPr>
                              <w:rPr>
                                <w:rFonts w:ascii="Cambria Math" w:hAnsi="Cambria Math" w:hint="eastAsia"/>
                                <w:lang w:val="en-US" w:eastAsia="zh-CN"/>
                              </w:rPr>
                              <m:t>a+C</m:t>
                            </m:r>
                          </m:e>
                        </m:d>
                      </m:e>
                    </m:d>
                    <m:r>
                      <m:rPr>
                        <m:sty m:val="p"/>
                      </m:rPr>
                      <w:rPr>
                        <w:rFonts w:ascii="Cambria Math" w:hAnsi="Cambria Math" w:hint="eastAsia"/>
                        <w:lang w:val="en-US" w:eastAsia="zh-CN"/>
                      </w:rPr>
                      <m:t>-</m:t>
                    </m:r>
                    <m:r>
                      <m:rPr>
                        <m:sty m:val="p"/>
                      </m:rPr>
                      <w:rPr>
                        <w:rFonts w:ascii="Cambria Math" w:hAnsi="Cambria Math" w:hint="eastAsia"/>
                        <w:lang w:val="en-US" w:eastAsia="zh-CN"/>
                      </w:rPr>
                      <m:t>1</m:t>
                    </m:r>
                  </m:den>
                </m:f>
              </m:e>
            </m:d>
          </m:den>
        </m:f>
        <m:r>
          <m:rPr>
            <m:sty m:val="p"/>
          </m:rPr>
          <w:rPr>
            <w:rFonts w:ascii="Cambria Math" w:hAnsi="Cambria Math" w:hint="eastAsia"/>
            <w:lang w:val="en-US" w:eastAsia="zh-CN"/>
          </w:rPr>
          <m:t>=</m:t>
        </m:r>
        <m:f>
          <m:fPr>
            <m:ctrlPr>
              <w:rPr>
                <w:rFonts w:ascii="Cambria Math" w:hAnsi="Cambria Math" w:hint="eastAsia"/>
                <w:lang w:val="en-US" w:eastAsia="zh-CN"/>
              </w:rPr>
            </m:ctrlPr>
          </m:fPr>
          <m:num>
            <m:r>
              <m:rPr>
                <m:sty m:val="p"/>
              </m:rPr>
              <w:rPr>
                <w:rFonts w:ascii="Cambria Math" w:hAnsi="Cambria Math" w:hint="eastAsia"/>
                <w:lang w:val="en-US" w:eastAsia="zh-CN"/>
              </w:rPr>
              <m:t>L</m:t>
            </m:r>
          </m:num>
          <m:den>
            <m:d>
              <m:dPr>
                <m:begChr m:val="["/>
                <m:endChr m:val="]"/>
                <m:ctrlPr>
                  <w:rPr>
                    <w:rFonts w:ascii="Cambria Math" w:hAnsi="Cambria Math" w:hint="eastAsia"/>
                    <w:lang w:val="en-US" w:eastAsia="zh-CN"/>
                  </w:rPr>
                </m:ctrlPr>
              </m:dPr>
              <m:e>
                <m:d>
                  <m:dPr>
                    <m:ctrlPr>
                      <w:rPr>
                        <w:rFonts w:ascii="Cambria Math" w:hAnsi="Cambria Math" w:hint="eastAsia"/>
                        <w:lang w:val="en-US" w:eastAsia="zh-CN"/>
                      </w:rPr>
                    </m:ctrlPr>
                  </m:dPr>
                  <m:e>
                    <m:f>
                      <m:fPr>
                        <m:ctrlPr>
                          <w:rPr>
                            <w:rFonts w:ascii="Cambria Math" w:hAnsi="Cambria Math" w:hint="eastAsia"/>
                            <w:lang w:val="en-US" w:eastAsia="zh-CN"/>
                          </w:rPr>
                        </m:ctrlPr>
                      </m:fPr>
                      <m:num>
                        <m:r>
                          <m:rPr>
                            <m:sty m:val="p"/>
                          </m:rPr>
                          <w:rPr>
                            <w:rFonts w:ascii="Cambria Math" w:hAnsi="Cambria Math" w:hint="eastAsia"/>
                            <w:lang w:val="en-US" w:eastAsia="zh-CN"/>
                          </w:rPr>
                          <m:t>1000</m:t>
                        </m:r>
                        <m:r>
                          <m:rPr>
                            <m:sty m:val="p"/>
                          </m:rPr>
                          <w:rPr>
                            <w:rFonts w:ascii="Cambria Math" w:hAnsi="Cambria Math" w:hint="eastAsia"/>
                            <w:lang w:val="en-US" w:eastAsia="zh-CN"/>
                          </w:rPr>
                          <m:t>∙</m:t>
                        </m:r>
                        <m:r>
                          <m:rPr>
                            <m:sty m:val="p"/>
                          </m:rPr>
                          <w:rPr>
                            <w:rFonts w:ascii="Cambria Math" w:hAnsi="Cambria Math" w:hint="eastAsia"/>
                            <w:lang w:val="en-US" w:eastAsia="zh-CN"/>
                          </w:rPr>
                          <m:t>W</m:t>
                        </m:r>
                      </m:num>
                      <m:den>
                        <m:r>
                          <m:rPr>
                            <m:sty m:val="p"/>
                          </m:rPr>
                          <w:rPr>
                            <w:rFonts w:ascii="Cambria Math" w:hAnsi="Cambria Math" w:hint="eastAsia"/>
                            <w:lang w:val="en-US" w:eastAsia="zh-CN"/>
                          </w:rPr>
                          <m:t>3.4</m:t>
                        </m:r>
                        <m:r>
                          <m:rPr>
                            <m:sty m:val="p"/>
                          </m:rPr>
                          <w:rPr>
                            <w:rFonts w:ascii="Cambria Math" w:hAnsi="Cambria Math" w:hint="eastAsia"/>
                            <w:lang w:val="en-US" w:eastAsia="zh-CN"/>
                          </w:rPr>
                          <m:t>∙</m:t>
                        </m:r>
                        <m:r>
                          <m:rPr>
                            <m:sty m:val="p"/>
                          </m:rPr>
                          <w:rPr>
                            <w:rFonts w:ascii="Cambria Math" w:hAnsi="Cambria Math" w:hint="eastAsia"/>
                            <w:lang w:val="en-US" w:eastAsia="zh-CN"/>
                          </w:rPr>
                          <m:t>L</m:t>
                        </m:r>
                      </m:den>
                    </m:f>
                  </m:e>
                </m:d>
                <m:r>
                  <m:rPr>
                    <m:sty m:val="p"/>
                  </m:rPr>
                  <w:rPr>
                    <w:rFonts w:ascii="Cambria Math" w:hAnsi="Cambria Math" w:hint="eastAsia"/>
                    <w:lang w:val="en-US" w:eastAsia="zh-CN"/>
                  </w:rPr>
                  <m:t>-</m:t>
                </m:r>
                <m:r>
                  <m:rPr>
                    <m:sty m:val="p"/>
                  </m:rPr>
                  <w:rPr>
                    <w:rFonts w:ascii="Cambria Math" w:hAnsi="Cambria Math" w:hint="eastAsia"/>
                    <w:lang w:val="en-US" w:eastAsia="zh-CN"/>
                  </w:rPr>
                  <m:t>1</m:t>
                </m:r>
              </m:e>
            </m:d>
          </m:den>
        </m:f>
      </m:oMath>
      <w:r>
        <w:rPr>
          <w:rFonts w:ascii="Calibri" w:eastAsia="SimSun" w:hAnsi="Calibri"/>
          <w:lang w:val="en-US" w:eastAsia="zh-CN"/>
        </w:rPr>
        <w:t xml:space="preserve"> to </w:t>
      </w:r>
      <m:oMath>
        <m:sSub>
          <m:sSubPr>
            <m:ctrlPr>
              <w:rPr>
                <w:rFonts w:ascii="Cambria Math" w:hAnsi="Cambria Math" w:hint="eastAsia"/>
                <w:lang w:val="en-US" w:eastAsia="zh-CN"/>
              </w:rPr>
            </m:ctrlPr>
          </m:sSubPr>
          <m:e>
            <m:r>
              <m:rPr>
                <m:sty m:val="p"/>
              </m:rPr>
              <w:rPr>
                <w:rFonts w:ascii="Cambria Math" w:hAnsi="Cambria Math" w:hint="eastAsia"/>
                <w:lang w:val="en-US" w:eastAsia="zh-CN"/>
              </w:rPr>
              <m:t>R</m:t>
            </m:r>
          </m:e>
          <m:sub>
            <m:r>
              <m:rPr>
                <m:sty m:val="p"/>
              </m:rPr>
              <w:rPr>
                <w:rFonts w:ascii="Cambria Math" w:hAnsi="Cambria Math" w:hint="eastAsia"/>
                <w:lang w:val="en-US" w:eastAsia="zh-CN"/>
              </w:rPr>
              <m:t>initial</m:t>
            </m:r>
          </m:sub>
        </m:sSub>
        <m:r>
          <m:rPr>
            <m:sty m:val="p"/>
          </m:rPr>
          <w:rPr>
            <w:rFonts w:ascii="Cambria Math" w:hAnsi="Cambria Math" w:hint="eastAsia"/>
            <w:lang w:val="en-US" w:eastAsia="zh-CN"/>
          </w:rPr>
          <m:t>=</m:t>
        </m:r>
        <m:f>
          <m:fPr>
            <m:ctrlPr>
              <w:rPr>
                <w:rFonts w:ascii="Cambria Math" w:hAnsi="Cambria Math" w:hint="eastAsia"/>
                <w:lang w:val="en-US" w:eastAsia="zh-CN"/>
              </w:rPr>
            </m:ctrlPr>
          </m:fPr>
          <m:num>
            <m:d>
              <m:dPr>
                <m:ctrlPr>
                  <w:rPr>
                    <w:rFonts w:ascii="Cambria Math" w:hAnsi="Cambria Math" w:hint="eastAsia"/>
                    <w:lang w:val="en-US" w:eastAsia="zh-CN"/>
                  </w:rPr>
                </m:ctrlPr>
              </m:dPr>
              <m:e>
                <m:r>
                  <m:rPr>
                    <m:sty m:val="p"/>
                  </m:rPr>
                  <w:rPr>
                    <w:rFonts w:ascii="Cambria Math" w:hAnsi="Cambria Math"/>
                    <w:lang w:val="en-US" w:eastAsia="zh-CN"/>
                  </w:rPr>
                  <m:t>M</m:t>
                </m:r>
                <m:r>
                  <m:rPr>
                    <m:sty m:val="p"/>
                  </m:rPr>
                  <w:rPr>
                    <w:rFonts w:ascii="Cambria Math" w:hAnsi="Cambria Math" w:hint="eastAsia"/>
                    <w:lang w:val="en-US" w:eastAsia="zh-CN"/>
                  </w:rPr>
                  <m:t>+C</m:t>
                </m:r>
              </m:e>
            </m:d>
          </m:num>
          <m:den>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1000</m:t>
                </m:r>
                <m:r>
                  <m:rPr>
                    <m:sty m:val="p"/>
                  </m:rPr>
                  <w:rPr>
                    <w:rFonts w:ascii="Cambria Math" w:hAnsi="Cambria Math" w:hint="eastAsia"/>
                    <w:lang w:val="en-US" w:eastAsia="zh-CN"/>
                  </w:rPr>
                  <m:t>*</m:t>
                </m:r>
                <m:f>
                  <m:fPr>
                    <m:type m:val="lin"/>
                    <m:ctrlPr>
                      <w:rPr>
                        <w:rFonts w:ascii="Cambria Math" w:hAnsi="Cambria Math" w:hint="eastAsia"/>
                        <w:lang w:val="en-US" w:eastAsia="zh-CN"/>
                      </w:rPr>
                    </m:ctrlPr>
                  </m:fPr>
                  <m:num>
                    <m:r>
                      <m:rPr>
                        <m:sty m:val="p"/>
                      </m:rPr>
                      <w:rPr>
                        <w:rFonts w:ascii="Cambria Math" w:hAnsi="Cambria Math" w:hint="eastAsia"/>
                        <w:lang w:val="en-US" w:eastAsia="zh-CN"/>
                      </w:rPr>
                      <m:t>W</m:t>
                    </m:r>
                  </m:num>
                  <m:den>
                    <m:d>
                      <m:dPr>
                        <m:ctrlPr>
                          <w:rPr>
                            <w:rFonts w:ascii="Cambria Math" w:hAnsi="Cambria Math" w:hint="eastAsia"/>
                            <w:lang w:val="en-US" w:eastAsia="zh-CN"/>
                          </w:rPr>
                        </m:ctrlPr>
                      </m:dPr>
                      <m:e>
                        <m:r>
                          <m:rPr>
                            <m:sty m:val="p"/>
                          </m:rPr>
                          <w:rPr>
                            <w:rFonts w:ascii="Cambria Math" w:hAnsi="Cambria Math" w:hint="eastAsia"/>
                            <w:lang w:val="en-US" w:eastAsia="zh-CN"/>
                          </w:rPr>
                          <m:t>3.4</m:t>
                        </m:r>
                        <m:r>
                          <m:rPr>
                            <m:sty m:val="p"/>
                          </m:rPr>
                          <w:rPr>
                            <w:rFonts w:ascii="Cambria Math" w:hAnsi="Cambria Math" w:hint="eastAsia"/>
                            <w:lang w:val="en-US" w:eastAsia="zh-CN"/>
                          </w:rPr>
                          <m:t>∙</m:t>
                        </m:r>
                        <m:d>
                          <m:dPr>
                            <m:ctrlPr>
                              <w:rPr>
                                <w:rFonts w:ascii="Cambria Math" w:hAnsi="Cambria Math" w:hint="eastAsia"/>
                                <w:lang w:val="en-US" w:eastAsia="zh-CN"/>
                              </w:rPr>
                            </m:ctrlPr>
                          </m:dPr>
                          <m:e>
                            <m:r>
                              <w:rPr>
                                <w:rFonts w:ascii="Cambria Math" w:hAnsi="Cambria Math"/>
                                <w:lang w:val="en-US" w:eastAsia="zh-CN"/>
                              </w:rPr>
                              <m:t>M</m:t>
                            </m:r>
                            <m:r>
                              <m:rPr>
                                <m:sty m:val="p"/>
                              </m:rPr>
                              <w:rPr>
                                <w:rFonts w:ascii="Cambria Math" w:hAnsi="Cambria Math" w:hint="eastAsia"/>
                                <w:lang w:val="en-US" w:eastAsia="zh-CN"/>
                              </w:rPr>
                              <m:t>+C</m:t>
                            </m:r>
                          </m:e>
                        </m:d>
                      </m:e>
                    </m:d>
                    <m:r>
                      <m:rPr>
                        <m:sty m:val="p"/>
                      </m:rPr>
                      <w:rPr>
                        <w:rFonts w:ascii="Cambria Math" w:hAnsi="Cambria Math" w:hint="eastAsia"/>
                        <w:lang w:val="en-US" w:eastAsia="zh-CN"/>
                      </w:rPr>
                      <m:t>-</m:t>
                    </m:r>
                    <m:r>
                      <m:rPr>
                        <m:sty m:val="p"/>
                      </m:rPr>
                      <w:rPr>
                        <w:rFonts w:ascii="Cambria Math" w:hAnsi="Cambria Math" w:hint="eastAsia"/>
                        <w:lang w:val="en-US" w:eastAsia="zh-CN"/>
                      </w:rPr>
                      <m:t>1</m:t>
                    </m:r>
                  </m:den>
                </m:f>
              </m:e>
            </m:d>
          </m:den>
        </m:f>
        <m:r>
          <m:rPr>
            <m:sty m:val="p"/>
          </m:rPr>
          <w:rPr>
            <w:rFonts w:ascii="Cambria Math" w:hAnsi="Cambria Math" w:hint="eastAsia"/>
            <w:lang w:val="en-US" w:eastAsia="zh-CN"/>
          </w:rPr>
          <m:t>=</m:t>
        </m:r>
        <m:f>
          <m:fPr>
            <m:ctrlPr>
              <w:rPr>
                <w:rFonts w:ascii="Cambria Math" w:hAnsi="Cambria Math" w:hint="eastAsia"/>
                <w:lang w:val="en-US" w:eastAsia="zh-CN"/>
              </w:rPr>
            </m:ctrlPr>
          </m:fPr>
          <m:num>
            <m:r>
              <m:rPr>
                <m:sty m:val="p"/>
              </m:rPr>
              <w:rPr>
                <w:rFonts w:ascii="Cambria Math" w:hAnsi="Cambria Math" w:hint="eastAsia"/>
                <w:lang w:val="en-US" w:eastAsia="zh-CN"/>
              </w:rPr>
              <m:t>L</m:t>
            </m:r>
          </m:num>
          <m:den>
            <m:d>
              <m:dPr>
                <m:begChr m:val="["/>
                <m:endChr m:val="]"/>
                <m:ctrlPr>
                  <w:rPr>
                    <w:rFonts w:ascii="Cambria Math" w:hAnsi="Cambria Math" w:hint="eastAsia"/>
                    <w:lang w:val="en-US" w:eastAsia="zh-CN"/>
                  </w:rPr>
                </m:ctrlPr>
              </m:dPr>
              <m:e>
                <m:d>
                  <m:dPr>
                    <m:ctrlPr>
                      <w:rPr>
                        <w:rFonts w:ascii="Cambria Math" w:hAnsi="Cambria Math" w:hint="eastAsia"/>
                        <w:lang w:val="en-US" w:eastAsia="zh-CN"/>
                      </w:rPr>
                    </m:ctrlPr>
                  </m:dPr>
                  <m:e>
                    <m:f>
                      <m:fPr>
                        <m:ctrlPr>
                          <w:rPr>
                            <w:rFonts w:ascii="Cambria Math" w:hAnsi="Cambria Math" w:hint="eastAsia"/>
                            <w:lang w:val="en-US" w:eastAsia="zh-CN"/>
                          </w:rPr>
                        </m:ctrlPr>
                      </m:fPr>
                      <m:num>
                        <m:r>
                          <m:rPr>
                            <m:sty m:val="p"/>
                          </m:rPr>
                          <w:rPr>
                            <w:rFonts w:ascii="Cambria Math" w:hAnsi="Cambria Math" w:hint="eastAsia"/>
                            <w:lang w:val="en-US" w:eastAsia="zh-CN"/>
                          </w:rPr>
                          <m:t>1000</m:t>
                        </m:r>
                        <m:r>
                          <m:rPr>
                            <m:sty m:val="p"/>
                          </m:rPr>
                          <w:rPr>
                            <w:rFonts w:ascii="Cambria Math" w:hAnsi="Cambria Math" w:hint="eastAsia"/>
                            <w:lang w:val="en-US" w:eastAsia="zh-CN"/>
                          </w:rPr>
                          <m:t>∙</m:t>
                        </m:r>
                        <m:r>
                          <m:rPr>
                            <m:sty m:val="p"/>
                          </m:rPr>
                          <w:rPr>
                            <w:rFonts w:ascii="Cambria Math" w:hAnsi="Cambria Math" w:hint="eastAsia"/>
                            <w:lang w:val="en-US" w:eastAsia="zh-CN"/>
                          </w:rPr>
                          <m:t>W</m:t>
                        </m:r>
                      </m:num>
                      <m:den>
                        <m:r>
                          <m:rPr>
                            <m:sty m:val="p"/>
                          </m:rPr>
                          <w:rPr>
                            <w:rFonts w:ascii="Cambria Math" w:hAnsi="Cambria Math" w:hint="eastAsia"/>
                            <w:lang w:val="en-US" w:eastAsia="zh-CN"/>
                          </w:rPr>
                          <m:t>3.4</m:t>
                        </m:r>
                        <m:r>
                          <m:rPr>
                            <m:sty m:val="p"/>
                          </m:rPr>
                          <w:rPr>
                            <w:rFonts w:ascii="Cambria Math" w:hAnsi="Cambria Math" w:hint="eastAsia"/>
                            <w:lang w:val="en-US" w:eastAsia="zh-CN"/>
                          </w:rPr>
                          <m:t>∙</m:t>
                        </m:r>
                        <m:r>
                          <m:rPr>
                            <m:sty m:val="p"/>
                          </m:rPr>
                          <w:rPr>
                            <w:rFonts w:ascii="Cambria Math" w:hAnsi="Cambria Math" w:hint="eastAsia"/>
                            <w:lang w:val="en-US" w:eastAsia="zh-CN"/>
                          </w:rPr>
                          <m:t>L</m:t>
                        </m:r>
                      </m:den>
                    </m:f>
                  </m:e>
                </m:d>
                <m:r>
                  <m:rPr>
                    <m:sty m:val="p"/>
                  </m:rPr>
                  <w:rPr>
                    <w:rFonts w:ascii="Cambria Math" w:hAnsi="Cambria Math" w:hint="eastAsia"/>
                    <w:lang w:val="en-US" w:eastAsia="zh-CN"/>
                  </w:rPr>
                  <m:t>-</m:t>
                </m:r>
                <m:r>
                  <m:rPr>
                    <m:sty m:val="p"/>
                  </m:rPr>
                  <w:rPr>
                    <w:rFonts w:ascii="Cambria Math" w:hAnsi="Cambria Math" w:hint="eastAsia"/>
                    <w:lang w:val="en-US" w:eastAsia="zh-CN"/>
                  </w:rPr>
                  <m:t>1</m:t>
                </m:r>
              </m:e>
            </m:d>
          </m:den>
        </m:f>
      </m:oMath>
      <w:r>
        <w:rPr>
          <w:rFonts w:ascii="Calibri" w:eastAsia="SimSun" w:hAnsi="Calibri" w:hint="eastAsia"/>
          <w:lang w:val="en-US" w:eastAsia="zh-CN"/>
        </w:rPr>
        <w:t xml:space="preserve">in accordance wih the formula in EXCEL tool </w:t>
      </w:r>
      <w:r>
        <w:rPr>
          <w:rFonts w:ascii="Calibri" w:eastAsia="SimSun" w:hAnsi="Calibri"/>
          <w:lang w:val="en-US" w:eastAsia="zh-CN"/>
        </w:rPr>
        <w:t>. In addition, supplement the background for obtaining the initial value of R, i.e., assume the CTF value is 20%, indicating a “very good” leading lin</w:t>
      </w:r>
      <w:r>
        <w:rPr>
          <w:rFonts w:ascii="Calibri" w:eastAsia="SimSun" w:hAnsi="Calibri" w:hint="eastAsia"/>
          <w:lang w:val="en-US" w:eastAsia="zh-CN"/>
        </w:rPr>
        <w:t xml:space="preserve">e, which comes </w:t>
      </w:r>
      <w:proofErr w:type="spellStart"/>
      <w:r>
        <w:rPr>
          <w:rFonts w:ascii="Calibri" w:eastAsia="SimSun" w:hAnsi="Calibri" w:hint="eastAsia"/>
          <w:lang w:val="en-US" w:eastAsia="zh-CN"/>
        </w:rPr>
        <w:t>form</w:t>
      </w:r>
      <w:proofErr w:type="spellEnd"/>
      <w:r>
        <w:rPr>
          <w:rFonts w:ascii="Calibri" w:eastAsia="SimSun" w:hAnsi="Calibri" w:hint="eastAsia"/>
          <w:lang w:val="en-US" w:eastAsia="zh-CN"/>
        </w:rPr>
        <w:t xml:space="preserve"> the original version of G1023</w:t>
      </w:r>
      <w:r>
        <w:rPr>
          <w:rFonts w:ascii="Calibri" w:eastAsia="SimSun" w:hAnsi="Calibri"/>
          <w:lang w:val="en-US" w:eastAsia="zh-CN"/>
        </w:rPr>
        <w:t>.</w:t>
      </w:r>
    </w:p>
    <w:p w14:paraId="7BC13D10"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Revise the reason for not needing to calculate the geographical range limit of the rear light in Section 5.9.2.2 from “the blur calculation of front and rear light” to “the blur calculation of front and rear light and the geographical range calculation of front light”.</w:t>
      </w:r>
    </w:p>
    <w:p w14:paraId="7BC13D11"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Revise the title of Section 5.10.3.1 from “Using Retroreflectors in Place of Lights” to “Retroreflective Daymarks”. This is because the retroreflective material is </w:t>
      </w:r>
      <w:proofErr w:type="gramStart"/>
      <w:r>
        <w:rPr>
          <w:rFonts w:ascii="Calibri" w:eastAsia="SimSun" w:hAnsi="Calibri"/>
          <w:lang w:val="en-US" w:eastAsia="zh-CN"/>
        </w:rPr>
        <w:t>panted</w:t>
      </w:r>
      <w:proofErr w:type="gramEnd"/>
      <w:r>
        <w:rPr>
          <w:rFonts w:ascii="Calibri" w:eastAsia="SimSun" w:hAnsi="Calibri"/>
          <w:lang w:val="en-US" w:eastAsia="zh-CN"/>
        </w:rPr>
        <w:t xml:space="preserve"> on </w:t>
      </w:r>
      <w:proofErr w:type="spellStart"/>
      <w:proofErr w:type="gramStart"/>
      <w:r>
        <w:rPr>
          <w:rFonts w:ascii="Calibri" w:eastAsia="SimSun" w:hAnsi="Calibri"/>
          <w:lang w:val="en-US" w:eastAsia="zh-CN"/>
        </w:rPr>
        <w:t>darmark</w:t>
      </w:r>
      <w:proofErr w:type="spellEnd"/>
      <w:proofErr w:type="gramEnd"/>
      <w:r>
        <w:rPr>
          <w:rFonts w:ascii="Calibri" w:eastAsia="SimSun" w:hAnsi="Calibri"/>
          <w:lang w:val="en-US" w:eastAsia="zh-CN"/>
        </w:rPr>
        <w:t>, so it is essentially still a daymark, which can be substitute for light at night.</w:t>
      </w:r>
    </w:p>
    <w:p w14:paraId="7BC13D12" w14:textId="77777777" w:rsidR="007309FD" w:rsidRDefault="00213240">
      <w:pPr>
        <w:pStyle w:val="Heading3"/>
        <w:rPr>
          <w:rFonts w:ascii="Calibri" w:eastAsia="SimSun" w:hAnsi="Calibri"/>
          <w:szCs w:val="22"/>
          <w:lang w:val="en-US" w:eastAsia="zh-CN"/>
        </w:rPr>
      </w:pPr>
      <w:r>
        <w:rPr>
          <w:rFonts w:ascii="Calibri" w:eastAsia="SimSun" w:hAnsi="Calibri" w:hint="eastAsia"/>
          <w:b/>
          <w:bCs/>
          <w:lang w:val="en-US" w:eastAsia="zh-CN"/>
        </w:rPr>
        <w:lastRenderedPageBreak/>
        <w:t>Editorial Changes</w:t>
      </w:r>
    </w:p>
    <w:p w14:paraId="7BC13D13"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Move the “MTR” in Figure 5, Section 4.2 from left side to right side to align with that in Figure 8, Section 5.3, </w:t>
      </w:r>
      <w:proofErr w:type="gramStart"/>
      <w:r>
        <w:rPr>
          <w:rFonts w:ascii="Calibri" w:eastAsia="SimSun" w:hAnsi="Calibri"/>
          <w:lang w:val="en-US" w:eastAsia="zh-CN"/>
        </w:rPr>
        <w:t>so as to</w:t>
      </w:r>
      <w:proofErr w:type="gramEnd"/>
      <w:r>
        <w:rPr>
          <w:rFonts w:ascii="Calibri" w:eastAsia="SimSun" w:hAnsi="Calibri"/>
          <w:lang w:val="en-US" w:eastAsia="zh-CN"/>
        </w:rPr>
        <w:t xml:space="preserve"> avoid confusion.</w:t>
      </w:r>
    </w:p>
    <w:p w14:paraId="7BC13D14"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In Section 5.2.4, clearly specify the ratio refers to illuminance rather than intensity to be set to 1 in the list of factors which should be considered.</w:t>
      </w:r>
    </w:p>
    <w:p w14:paraId="7BC13D15"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Revise the threshold value of </w:t>
      </w:r>
      <m:oMath>
        <m:sSub>
          <m:sSubPr>
            <m:ctrlPr>
              <w:rPr>
                <w:rFonts w:ascii="Cambria Math" w:hAnsi="Cambria Math"/>
              </w:rPr>
            </m:ctrlPr>
          </m:sSubPr>
          <m:e>
            <m:r>
              <w:rPr>
                <w:rFonts w:ascii="Cambria Math" w:hAnsi="Cambria Math"/>
              </w:rPr>
              <m:t>γ</m:t>
            </m:r>
          </m:e>
          <m:sub>
            <m:r>
              <w:rPr>
                <w:rFonts w:ascii="Cambria Math" w:hAnsi="Cambria Math"/>
              </w:rPr>
              <m:t>min</m:t>
            </m:r>
          </m:sub>
        </m:sSub>
      </m:oMath>
      <w:r>
        <w:rPr>
          <w:rFonts w:ascii="Calibri" w:eastAsia="SimSun" w:hAnsi="Calibri"/>
          <w:lang w:val="en-US" w:eastAsia="zh-CN"/>
        </w:rPr>
        <w:t xml:space="preserve"> which leads to blurring from </w:t>
      </w:r>
      <m:oMath>
        <m:r>
          <w:rPr>
            <w:rFonts w:ascii="Cambria Math" w:eastAsiaTheme="minorEastAsia" w:hAnsi="Cambria Math"/>
          </w:rPr>
          <m:t>1.5∙</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m:t>
            </m:r>
            <m:r>
              <w:rPr>
                <w:rFonts w:ascii="Cambria Math" w:hAnsi="Cambria Math"/>
                <w:lang w:val="en-US" w:eastAsia="zh-CN"/>
              </w:rPr>
              <m:t>6</m:t>
            </m:r>
          </m:sup>
        </m:sSup>
        <m:r>
          <w:rPr>
            <w:rFonts w:ascii="Cambria Math" w:eastAsiaTheme="minorEastAsia" w:hAnsi="Cambria Math"/>
          </w:rPr>
          <m:t xml:space="preserve"> </m:t>
        </m:r>
        <m:r>
          <w:rPr>
            <w:rFonts w:ascii="Cambria Math" w:eastAsiaTheme="minorEastAsia" w:hAnsi="Cambria Math"/>
          </w:rPr>
          <m:t>rad</m:t>
        </m:r>
      </m:oMath>
      <w:r>
        <w:rPr>
          <w:rFonts w:ascii="Calibri" w:eastAsia="SimSun" w:hAnsi="Calibri"/>
          <w:lang w:val="en-US" w:eastAsia="zh-CN"/>
        </w:rPr>
        <w:t xml:space="preserve"> to </w:t>
      </w:r>
      <m:oMath>
        <m:r>
          <w:rPr>
            <w:rFonts w:ascii="Cambria Math" w:eastAsiaTheme="minorEastAsia" w:hAnsi="Cambria Math"/>
          </w:rPr>
          <m:t>1.5∙</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m:t>
            </m:r>
            <m:r>
              <w:rPr>
                <w:rFonts w:ascii="Cambria Math" w:eastAsiaTheme="minorEastAsia" w:hAnsi="Cambria Math"/>
              </w:rPr>
              <m:t>3</m:t>
            </m:r>
          </m:sup>
        </m:sSup>
        <m:r>
          <w:rPr>
            <w:rFonts w:ascii="Cambria Math" w:eastAsiaTheme="minorEastAsia" w:hAnsi="Cambria Math"/>
          </w:rPr>
          <m:t xml:space="preserve"> </m:t>
        </m:r>
        <m:r>
          <w:rPr>
            <w:rFonts w:ascii="Cambria Math" w:eastAsiaTheme="minorEastAsia" w:hAnsi="Cambria Math"/>
          </w:rPr>
          <m:t>rad</m:t>
        </m:r>
      </m:oMath>
      <w:r>
        <w:rPr>
          <w:rFonts w:ascii="Calibri" w:eastAsia="SimSun" w:hAnsi="Calibri"/>
          <w:lang w:val="en-US" w:eastAsia="zh-CN"/>
        </w:rPr>
        <w:t xml:space="preserve"> (</w:t>
      </w:r>
      <m:oMath>
        <m:r>
          <w:rPr>
            <w:rFonts w:ascii="Cambria Math" w:eastAsiaTheme="minorEastAsia" w:hAnsi="Cambria Math"/>
          </w:rPr>
          <m:t>≈5'</m:t>
        </m:r>
      </m:oMath>
      <w:r>
        <w:rPr>
          <w:rFonts w:ascii="Calibri" w:eastAsia="SimSun" w:hAnsi="Calibri"/>
          <w:lang w:val="en-US" w:eastAsia="zh-CN"/>
        </w:rPr>
        <w:t>)</w:t>
      </w:r>
      <w:r>
        <w:rPr>
          <w:rFonts w:ascii="Calibri" w:eastAsia="SimSun" w:hAnsi="Calibri" w:hint="eastAsia"/>
          <w:lang w:val="en-US" w:eastAsia="zh-CN"/>
        </w:rPr>
        <w:t>, which is a common experienced value</w:t>
      </w:r>
      <w:r>
        <w:rPr>
          <w:rFonts w:ascii="Calibri" w:eastAsia="SimSun" w:hAnsi="Calibri"/>
          <w:lang w:val="en-US" w:eastAsia="zh-CN"/>
        </w:rPr>
        <w:t>.</w:t>
      </w:r>
    </w:p>
    <w:p w14:paraId="7BC13D16"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In Section 5.7, delete the symbol % in the calculation formulae of CTF to make it normative, explain its unit in the explanation of the formulae. </w:t>
      </w:r>
    </w:p>
    <w:p w14:paraId="7BC13D17"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In Section 5.7, change the title of Table 1 from “CTF Classification” to “CTF Suitability Assessment”. Meanwhile, revise the explanation for CTF exceeding 75% from “unworkable” to “not useful to the mariner”</w:t>
      </w:r>
      <w:r>
        <w:rPr>
          <w:rFonts w:ascii="Calibri" w:eastAsia="SimSun" w:hAnsi="Calibri" w:hint="eastAsia"/>
          <w:lang w:val="en-US" w:eastAsia="zh-CN"/>
        </w:rPr>
        <w:t xml:space="preserve"> to make the description more accurate</w:t>
      </w:r>
      <w:r>
        <w:rPr>
          <w:rFonts w:ascii="Calibri" w:eastAsia="SimSun" w:hAnsi="Calibri"/>
          <w:lang w:val="en-US" w:eastAsia="zh-CN"/>
        </w:rPr>
        <w:t>.</w:t>
      </w:r>
    </w:p>
    <w:p w14:paraId="7BC13D18"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In Section 5.8, replace ‘</w:t>
      </w:r>
      <m:oMath>
        <m:sSub>
          <m:sSubPr>
            <m:ctrlPr>
              <w:rPr>
                <w:rFonts w:ascii="Cambria Math" w:hAnsi="Cambria Math"/>
                <w:i/>
              </w:rPr>
            </m:ctrlPr>
          </m:sSubPr>
          <m:e>
            <m:r>
              <w:rPr>
                <w:rFonts w:ascii="Cambria Math" w:hAnsi="Cambria Math"/>
              </w:rPr>
              <m:t>d</m:t>
            </m:r>
          </m:e>
          <m:sub>
            <m:r>
              <w:rPr>
                <w:rFonts w:ascii="Cambria Math" w:hAnsi="Cambria Math"/>
              </w:rPr>
              <m:t>U</m:t>
            </m:r>
          </m:sub>
        </m:sSub>
        <m:r>
          <w:rPr>
            <w:rFonts w:ascii="Cambria Math" w:hAnsi="Cambria Math"/>
          </w:rPr>
          <m:t xml:space="preserve">=1 </m:t>
        </m:r>
        <m:r>
          <w:rPr>
            <w:rFonts w:ascii="Cambria Math" w:hAnsi="Cambria Math"/>
          </w:rPr>
          <m:t>M</m:t>
        </m:r>
        <m:r>
          <w:rPr>
            <w:rFonts w:ascii="Cambria Math" w:hAnsi="Cambria Math"/>
          </w:rPr>
          <m:t xml:space="preserve">=1852 </m:t>
        </m:r>
        <m:r>
          <w:rPr>
            <w:rFonts w:ascii="Cambria Math" w:hAnsi="Cambria Math"/>
          </w:rPr>
          <m:t>m</m:t>
        </m:r>
      </m:oMath>
      <w:r>
        <w:rPr>
          <w:rFonts w:ascii="Calibri" w:eastAsia="SimSun" w:hAnsi="Calibri"/>
          <w:lang w:val="en-US" w:eastAsia="zh-CN"/>
        </w:rPr>
        <w:t>’ with ‘</w:t>
      </w:r>
      <m:oMath>
        <m:sSub>
          <m:sSubPr>
            <m:ctrlPr>
              <w:rPr>
                <w:rFonts w:ascii="Cambria Math" w:hAnsi="Cambria Math"/>
                <w:i/>
              </w:rPr>
            </m:ctrlPr>
          </m:sSubPr>
          <m:e>
            <m:r>
              <w:rPr>
                <w:rFonts w:ascii="Cambria Math" w:hAnsi="Cambria Math"/>
              </w:rPr>
              <m:t>d</m:t>
            </m:r>
          </m:e>
          <m:sub>
            <m:r>
              <w:rPr>
                <w:rFonts w:ascii="Cambria Math" w:hAnsi="Cambria Math"/>
              </w:rPr>
              <m:t>U</m:t>
            </m:r>
          </m:sub>
        </m:sSub>
        <m:r>
          <w:rPr>
            <w:rFonts w:ascii="Cambria Math" w:hAnsi="Cambria Math"/>
          </w:rPr>
          <m:t xml:space="preserve">=1 </m:t>
        </m:r>
        <m:r>
          <w:rPr>
            <w:rFonts w:ascii="Cambria Math" w:hAnsi="Cambria Math"/>
          </w:rPr>
          <m:t>M</m:t>
        </m:r>
      </m:oMath>
      <w:r>
        <w:rPr>
          <w:rFonts w:ascii="Calibri" w:eastAsia="SimSun" w:hAnsi="Calibri"/>
          <w:lang w:val="en-US" w:eastAsia="zh-CN"/>
        </w:rPr>
        <w:t>’ to avoid confusing the readers.</w:t>
      </w:r>
    </w:p>
    <w:p w14:paraId="7BC13D19"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Change the symbol index of the front daymark length  </w:t>
      </w:r>
      <m:oMath>
        <m:sSub>
          <m:sSubPr>
            <m:ctrlPr>
              <w:rPr>
                <w:rFonts w:ascii="Cambria Math" w:hAnsi="Cambria Math"/>
                <w:i/>
              </w:rPr>
            </m:ctrlPr>
          </m:sSubPr>
          <m:e>
            <m:r>
              <w:rPr>
                <w:rFonts w:ascii="Cambria Math" w:hAnsi="Cambria Math"/>
              </w:rPr>
              <m:t>L</m:t>
            </m:r>
          </m:e>
          <m:sub>
            <m:r>
              <w:rPr>
                <w:rFonts w:ascii="Cambria Math" w:hAnsi="Cambria Math"/>
              </w:rPr>
              <m:t>FL</m:t>
            </m:r>
            <m:r>
              <w:rPr>
                <w:rFonts w:ascii="Cambria Math" w:hAnsi="Cambria Math"/>
              </w:rPr>
              <m:t>,</m:t>
            </m:r>
            <m:r>
              <w:rPr>
                <w:rFonts w:ascii="Cambria Math" w:hAnsi="Cambria Math"/>
              </w:rPr>
              <m:t>DM</m:t>
            </m:r>
            <m:r>
              <w:rPr>
                <w:rFonts w:ascii="Cambria Math" w:hAnsi="Cambria Math"/>
              </w:rPr>
              <m:t>,</m:t>
            </m:r>
            <m:r>
              <w:rPr>
                <w:rFonts w:ascii="Cambria Math" w:hAnsi="Cambria Math"/>
              </w:rPr>
              <m:t>sel</m:t>
            </m:r>
          </m:sub>
        </m:sSub>
      </m:oMath>
      <w:r>
        <w:rPr>
          <w:rFonts w:eastAsia="SimSun" w:hAnsi="Cambria Math" w:hint="eastAsia"/>
          <w:lang w:val="en-US" w:eastAsia="zh-CN"/>
        </w:rPr>
        <w:t xml:space="preserve"> </w:t>
      </w:r>
      <w:r>
        <w:rPr>
          <w:rFonts w:ascii="Calibri" w:eastAsia="SimSun" w:hAnsi="Calibri"/>
          <w:lang w:val="en-US" w:eastAsia="zh-CN"/>
        </w:rPr>
        <w:t xml:space="preserve">to </w:t>
      </w:r>
      <m:oMath>
        <m:sSub>
          <m:sSubPr>
            <m:ctrlPr>
              <w:rPr>
                <w:rFonts w:ascii="Cambria Math" w:hAnsi="Cambria Math"/>
                <w:i/>
              </w:rPr>
            </m:ctrlPr>
          </m:sSubPr>
          <m:e>
            <m:r>
              <w:rPr>
                <w:rFonts w:ascii="Cambria Math" w:hAnsi="Cambria Math"/>
              </w:rPr>
              <m:t>L</m:t>
            </m:r>
          </m:e>
          <m:sub>
            <m:r>
              <w:rPr>
                <w:rFonts w:ascii="Cambria Math" w:hAnsi="Cambria Math"/>
              </w:rPr>
              <m:t>FDM</m:t>
            </m:r>
            <m:r>
              <w:rPr>
                <w:rFonts w:ascii="Cambria Math" w:hAnsi="Cambria Math"/>
              </w:rPr>
              <m:t>,</m:t>
            </m:r>
            <m:r>
              <w:rPr>
                <w:rFonts w:ascii="Cambria Math" w:hAnsi="Cambria Math"/>
              </w:rPr>
              <m:t>sel</m:t>
            </m:r>
          </m:sub>
        </m:sSub>
      </m:oMath>
      <w:r>
        <w:rPr>
          <w:rFonts w:ascii="Calibri" w:eastAsia="SimSun" w:hAnsi="Calibri"/>
          <w:lang w:val="en-US" w:eastAsia="zh-CN"/>
        </w:rPr>
        <w:t xml:space="preserve"> and make </w:t>
      </w:r>
      <w:proofErr w:type="gramStart"/>
      <w:r>
        <w:rPr>
          <w:rFonts w:ascii="Calibri" w:eastAsia="SimSun" w:hAnsi="Calibri"/>
          <w:lang w:val="en-US" w:eastAsia="zh-CN"/>
        </w:rPr>
        <w:t>the</w:t>
      </w:r>
      <w:proofErr w:type="gramEnd"/>
      <w:r>
        <w:rPr>
          <w:rFonts w:ascii="Calibri" w:eastAsia="SimSun" w:hAnsi="Calibri"/>
          <w:lang w:val="en-US" w:eastAsia="zh-CN"/>
        </w:rPr>
        <w:t xml:space="preserve"> similar modification for the rear daymark as daymark belongs rather </w:t>
      </w:r>
      <w:proofErr w:type="gramStart"/>
      <w:r>
        <w:rPr>
          <w:rFonts w:ascii="Calibri" w:eastAsia="SimSun" w:hAnsi="Calibri"/>
          <w:lang w:val="en-US" w:eastAsia="zh-CN"/>
        </w:rPr>
        <w:t>to</w:t>
      </w:r>
      <w:proofErr w:type="gramEnd"/>
      <w:r>
        <w:rPr>
          <w:rFonts w:ascii="Calibri" w:eastAsia="SimSun" w:hAnsi="Calibri"/>
          <w:lang w:val="en-US" w:eastAsia="zh-CN"/>
        </w:rPr>
        <w:t xml:space="preserve"> leading mark not to light. Meanwhile, add the terms FDM and RDM in Section 4.5. In addition, revise </w:t>
      </w:r>
      <m:oMath>
        <m:sSub>
          <m:sSubPr>
            <m:ctrlPr>
              <w:rPr>
                <w:rFonts w:ascii="Cambria Math" w:hAnsi="Cambria Math"/>
                <w:i/>
              </w:rPr>
            </m:ctrlPr>
          </m:sSubPr>
          <m:e>
            <m:r>
              <w:rPr>
                <w:rFonts w:ascii="Cambria Math" w:hAnsi="Cambria Math"/>
              </w:rPr>
              <m:t>L</m:t>
            </m:r>
          </m:e>
          <m:sub>
            <m:r>
              <w:rPr>
                <w:rFonts w:ascii="Cambria Math" w:hAnsi="Cambria Math"/>
              </w:rPr>
              <m:t>FL</m:t>
            </m:r>
            <m:r>
              <w:rPr>
                <w:rFonts w:ascii="Cambria Math" w:hAnsi="Cambria Math"/>
              </w:rPr>
              <m:t>,</m:t>
            </m:r>
            <m:r>
              <w:rPr>
                <w:rFonts w:ascii="Cambria Math" w:hAnsi="Cambria Math"/>
              </w:rPr>
              <m:t>DM</m:t>
            </m:r>
            <m:r>
              <w:rPr>
                <w:rFonts w:ascii="Cambria Math" w:hAnsi="Cambria Math"/>
              </w:rPr>
              <m:t>,</m:t>
            </m:r>
            <m:r>
              <w:rPr>
                <w:rFonts w:ascii="Cambria Math" w:hAnsi="Cambria Math"/>
              </w:rPr>
              <m:t>sel</m:t>
            </m:r>
          </m:sub>
        </m:sSub>
      </m:oMath>
      <w:r>
        <w:rPr>
          <w:rFonts w:eastAsia="SimSun" w:hAnsi="Cambria Math" w:hint="eastAsia"/>
          <w:lang w:val="en-US" w:eastAsia="zh-CN"/>
        </w:rPr>
        <w:t xml:space="preserve"> </w:t>
      </w:r>
      <w:r>
        <w:rPr>
          <w:rFonts w:ascii="Calibri" w:eastAsia="SimSun" w:hAnsi="Calibri"/>
          <w:lang w:val="en-US" w:eastAsia="zh-CN"/>
        </w:rPr>
        <w:t xml:space="preserve">and </w:t>
      </w:r>
      <m:oMath>
        <m:sSub>
          <m:sSubPr>
            <m:ctrlPr>
              <w:rPr>
                <w:rFonts w:ascii="Cambria Math" w:hAnsi="Cambria Math"/>
                <w:i/>
              </w:rPr>
            </m:ctrlPr>
          </m:sSubPr>
          <m:e>
            <m:r>
              <w:rPr>
                <w:rFonts w:ascii="Cambria Math" w:hAnsi="Cambria Math"/>
              </w:rPr>
              <m:t>L</m:t>
            </m:r>
          </m:e>
          <m:sub>
            <m:r>
              <w:rPr>
                <w:rFonts w:ascii="Cambria Math" w:hAnsi="Cambria Math"/>
                <w:lang w:val="en-US" w:eastAsia="zh-CN"/>
              </w:rPr>
              <m:t>R</m:t>
            </m:r>
            <m:r>
              <w:rPr>
                <w:rFonts w:ascii="Cambria Math" w:hAnsi="Cambria Math"/>
              </w:rPr>
              <m:t>L</m:t>
            </m:r>
            <m:r>
              <w:rPr>
                <w:rFonts w:ascii="Cambria Math" w:hAnsi="Cambria Math"/>
              </w:rPr>
              <m:t>,</m:t>
            </m:r>
            <m:r>
              <w:rPr>
                <w:rFonts w:ascii="Cambria Math" w:hAnsi="Cambria Math"/>
              </w:rPr>
              <m:t>DM</m:t>
            </m:r>
            <m:r>
              <w:rPr>
                <w:rFonts w:ascii="Cambria Math" w:hAnsi="Cambria Math"/>
              </w:rPr>
              <m:t>,</m:t>
            </m:r>
            <m:r>
              <w:rPr>
                <w:rFonts w:ascii="Cambria Math" w:hAnsi="Cambria Math"/>
              </w:rPr>
              <m:t>sel</m:t>
            </m:r>
          </m:sub>
        </m:sSub>
      </m:oMath>
      <w:r>
        <w:rPr>
          <w:rFonts w:ascii="Calibri" w:eastAsia="SimSun" w:hAnsi="Calibri"/>
          <w:lang w:val="en-US" w:eastAsia="zh-CN"/>
        </w:rPr>
        <w:t xml:space="preserve"> in Figure 6 of Section 4.2 to </w:t>
      </w:r>
      <m:oMath>
        <m:sSub>
          <m:sSubPr>
            <m:ctrlPr>
              <w:rPr>
                <w:rFonts w:ascii="Cambria Math" w:hAnsi="Cambria Math"/>
                <w:i/>
              </w:rPr>
            </m:ctrlPr>
          </m:sSubPr>
          <m:e>
            <m:r>
              <w:rPr>
                <w:rFonts w:ascii="Cambria Math" w:hAnsi="Cambria Math"/>
              </w:rPr>
              <m:t>L</m:t>
            </m:r>
          </m:e>
          <m:sub>
            <m:r>
              <w:rPr>
                <w:rFonts w:ascii="Cambria Math" w:hAnsi="Cambria Math"/>
              </w:rPr>
              <m:t>FDM</m:t>
            </m:r>
            <m:r>
              <w:rPr>
                <w:rFonts w:ascii="Cambria Math" w:hAnsi="Cambria Math"/>
              </w:rPr>
              <m:t>,</m:t>
            </m:r>
            <m:r>
              <w:rPr>
                <w:rFonts w:ascii="Cambria Math" w:hAnsi="Cambria Math"/>
              </w:rPr>
              <m:t>sel</m:t>
            </m:r>
          </m:sub>
        </m:sSub>
      </m:oMath>
      <w:r>
        <w:rPr>
          <w:rFonts w:ascii="Calibri" w:eastAsia="SimSun" w:hAnsi="Calibri"/>
          <w:lang w:val="en-US"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lang w:val="en-US" w:eastAsia="zh-CN"/>
              </w:rPr>
              <m:t>R</m:t>
            </m:r>
            <m:r>
              <w:rPr>
                <w:rFonts w:ascii="Cambria Math" w:hAnsi="Cambria Math"/>
              </w:rPr>
              <m:t>DM</m:t>
            </m:r>
            <m:r>
              <w:rPr>
                <w:rFonts w:ascii="Cambria Math" w:hAnsi="Cambria Math"/>
              </w:rPr>
              <m:t>,</m:t>
            </m:r>
            <m:r>
              <w:rPr>
                <w:rFonts w:ascii="Cambria Math" w:hAnsi="Cambria Math"/>
              </w:rPr>
              <m:t>sel</m:t>
            </m:r>
          </m:sub>
        </m:sSub>
      </m:oMath>
      <w:r>
        <w:rPr>
          <w:rFonts w:ascii="Calibri" w:eastAsia="SimSun" w:hAnsi="Calibri"/>
          <w:lang w:val="en-US" w:eastAsia="zh-CN"/>
        </w:rPr>
        <w:t>.</w:t>
      </w:r>
    </w:p>
    <w:p w14:paraId="7BC13D1A"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Revise the position of </w:t>
      </w:r>
      <w:proofErr w:type="spellStart"/>
      <w:r>
        <w:rPr>
          <w:rFonts w:ascii="Calibri" w:eastAsia="SimSun" w:hAnsi="Calibri"/>
          <w:lang w:val="en-US" w:eastAsia="zh-CN"/>
        </w:rPr>
        <w:t>S in</w:t>
      </w:r>
      <w:proofErr w:type="spellEnd"/>
      <w:r>
        <w:rPr>
          <w:rFonts w:ascii="Calibri" w:eastAsia="SimSun" w:hAnsi="Calibri"/>
          <w:lang w:val="en-US" w:eastAsia="zh-CN"/>
        </w:rPr>
        <w:t xml:space="preserve"> Figure 12 of Section 5.9.1.3 from “the distance between the obstruction and the front light” to “the distance between the obstruction and the near end of the useful segment</w:t>
      </w:r>
      <w:proofErr w:type="gramStart"/>
      <w:r>
        <w:rPr>
          <w:rFonts w:ascii="Calibri" w:eastAsia="SimSun" w:hAnsi="Calibri"/>
          <w:lang w:val="en-US" w:eastAsia="zh-CN"/>
        </w:rPr>
        <w:t>” ,</w:t>
      </w:r>
      <w:proofErr w:type="gramEnd"/>
      <w:r>
        <w:rPr>
          <w:rFonts w:ascii="Calibri" w:eastAsia="SimSun" w:hAnsi="Calibri"/>
          <w:lang w:val="en-US" w:eastAsia="zh-CN"/>
        </w:rPr>
        <w:t xml:space="preserve"> </w:t>
      </w:r>
      <w:proofErr w:type="gramStart"/>
      <w:r>
        <w:rPr>
          <w:rFonts w:ascii="Calibri" w:eastAsia="SimSun" w:hAnsi="Calibri"/>
          <w:lang w:val="en-US" w:eastAsia="zh-CN"/>
        </w:rPr>
        <w:t>so as to</w:t>
      </w:r>
      <w:proofErr w:type="gramEnd"/>
      <w:r>
        <w:rPr>
          <w:rFonts w:ascii="Calibri" w:eastAsia="SimSun" w:hAnsi="Calibri"/>
          <w:lang w:val="en-US" w:eastAsia="zh-CN"/>
        </w:rPr>
        <w:t xml:space="preserve"> be consistent with the formulas below Figure 12 and the definition of S in the spreadsheet.</w:t>
      </w:r>
    </w:p>
    <w:p w14:paraId="7BC13D1B"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Replace </w:t>
      </w:r>
      <m:oMath>
        <m:sSub>
          <m:sSubPr>
            <m:ctrlPr>
              <w:rPr>
                <w:rFonts w:ascii="Cambria Math" w:hAnsi="Cambria Math"/>
                <w:i/>
                <w:iCs/>
              </w:rPr>
            </m:ctrlPr>
          </m:sSubPr>
          <m:e>
            <m:r>
              <w:rPr>
                <w:rFonts w:ascii="Cambria Math" w:hAnsi="Cambria Math"/>
              </w:rPr>
              <m:t>H</m:t>
            </m:r>
          </m:e>
          <m:sub>
            <m:r>
              <w:rPr>
                <w:rFonts w:ascii="Cambria Math" w:hAnsi="Cambria Math"/>
              </w:rPr>
              <m:t>v</m:t>
            </m:r>
          </m:sub>
        </m:sSub>
      </m:oMath>
      <w:r>
        <w:rPr>
          <w:rFonts w:ascii="Calibri" w:eastAsia="SimSun" w:hAnsi="Calibri"/>
          <w:lang w:val="en-US" w:eastAsia="zh-CN"/>
        </w:rPr>
        <w:t xml:space="preserve"> with </w:t>
      </w:r>
      <m:oMath>
        <m:sSub>
          <m:sSubPr>
            <m:ctrlPr>
              <w:rPr>
                <w:rFonts w:ascii="Cambria Math" w:hAnsi="Cambria Math"/>
                <w:i/>
                <w:iCs/>
              </w:rPr>
            </m:ctrlPr>
          </m:sSubPr>
          <m:e>
            <m:r>
              <w:rPr>
                <w:rFonts w:ascii="Cambria Math" w:hAnsi="Cambria Math"/>
              </w:rPr>
              <m:t>H</m:t>
            </m:r>
          </m:e>
          <m:sub>
            <m:r>
              <w:rPr>
                <w:rFonts w:ascii="Cambria Math" w:hAnsi="Cambria Math"/>
              </w:rPr>
              <m:t>v</m:t>
            </m:r>
            <m:r>
              <w:rPr>
                <w:rFonts w:ascii="Cambria Math" w:hAnsi="Cambria Math"/>
                <w:lang w:val="en-US" w:eastAsia="zh-CN"/>
              </w:rPr>
              <m:t>,</m:t>
            </m:r>
            <m:r>
              <w:rPr>
                <w:rFonts w:ascii="Cambria Math" w:hAnsi="Cambria Math"/>
                <w:lang w:val="en-US" w:eastAsia="zh-CN"/>
              </w:rPr>
              <m:t>min</m:t>
            </m:r>
          </m:sub>
        </m:sSub>
      </m:oMath>
      <w:r>
        <w:rPr>
          <w:rFonts w:ascii="Calibri" w:eastAsia="SimSun" w:hAnsi="Calibri"/>
          <w:lang w:val="en-US" w:eastAsia="zh-CN"/>
        </w:rPr>
        <w:t xml:space="preserve"> in Formula (39) and Formula (40) of Section 5.9.2.1, Formula (43) and Formula (44) of Section 5.9.2.4 as these formulas are calculated for the lowest height of the observer</w:t>
      </w:r>
      <w:r>
        <w:rPr>
          <w:rFonts w:ascii="Calibri" w:eastAsia="SimSun" w:hAnsi="Calibri" w:hint="eastAsia"/>
          <w:lang w:val="en-US" w:eastAsia="zh-CN"/>
        </w:rPr>
        <w:t xml:space="preserve"> which ensures the calculation is based on the worst situation so the result will be appropriate to all the situations.</w:t>
      </w:r>
    </w:p>
    <w:p w14:paraId="7BC13D1C"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Revise Formula (42) in Section 5.9.2.3 by changing the denominator from </w:t>
      </w:r>
      <w:r>
        <w:rPr>
          <w:rFonts w:hAnsi="Cambria Math" w:hint="eastAsia"/>
          <w:iCs/>
          <w:lang w:val="en-US" w:eastAsia="zh-CN"/>
        </w:rPr>
        <w:t xml:space="preserve"> </w:t>
      </w:r>
      <m:oMath>
        <m:r>
          <m:rPr>
            <m:sty m:val="p"/>
          </m:rPr>
          <w:rPr>
            <w:rFonts w:ascii="Cambria Math" w:hAnsi="Cambria Math"/>
          </w:rPr>
          <m:t>M+C</m:t>
        </m:r>
      </m:oMath>
      <w:r>
        <w:rPr>
          <w:rFonts w:ascii="Calibri" w:eastAsia="SimSun" w:hAnsi="Calibri"/>
          <w:lang w:val="en-US" w:eastAsia="zh-CN"/>
        </w:rPr>
        <w:t xml:space="preserve"> to C. This is because at the near end of the useful segment, x has changed from </w:t>
      </w:r>
      <m:oMath>
        <m:r>
          <m:rPr>
            <m:sty m:val="p"/>
          </m:rPr>
          <w:rPr>
            <w:rFonts w:ascii="Cambria Math" w:hAnsi="Cambria Math"/>
          </w:rPr>
          <m:t>M+C</m:t>
        </m:r>
      </m:oMath>
      <w:r>
        <w:rPr>
          <w:rFonts w:ascii="Calibri" w:eastAsia="SimSun" w:hAnsi="Calibri"/>
          <w:lang w:val="en-US" w:eastAsia="zh-CN"/>
        </w:rPr>
        <w:t xml:space="preserve"> to C. In addition, the explanation preceding this formula has also been corrected to state that </w:t>
      </w:r>
      <m:oMath>
        <m:r>
          <w:rPr>
            <w:rFonts w:ascii="Cambria Math" w:hAnsi="Cambria Math"/>
          </w:rPr>
          <m:t>x</m:t>
        </m:r>
        <m:r>
          <w:rPr>
            <w:rFonts w:ascii="Cambria Math" w:hAnsi="Cambria Math"/>
          </w:rPr>
          <m:t>=</m:t>
        </m:r>
        <m:r>
          <w:rPr>
            <w:rFonts w:ascii="Cambria Math" w:eastAsia="SimSun" w:hAnsi="Cambria Math"/>
            <w:lang w:val="en-US" w:eastAsia="zh-CN"/>
          </w:rPr>
          <m:t>M</m:t>
        </m:r>
      </m:oMath>
      <w:r>
        <w:rPr>
          <w:rFonts w:ascii="Calibri" w:eastAsia="SimSun" w:hAnsi="Calibri"/>
          <w:lang w:val="en-US" w:eastAsia="zh-CN"/>
        </w:rPr>
        <w:t xml:space="preserve"> instead of </w:t>
      </w:r>
      <m:oMath>
        <m:r>
          <w:rPr>
            <w:rFonts w:ascii="Cambria Math" w:hAnsi="Cambria Math"/>
          </w:rPr>
          <m:t>x</m:t>
        </m:r>
        <m:r>
          <w:rPr>
            <w:rFonts w:ascii="Cambria Math" w:hAnsi="Cambria Math"/>
          </w:rPr>
          <m:t>=</m:t>
        </m:r>
        <m:r>
          <w:rPr>
            <w:rFonts w:ascii="Cambria Math" w:hAnsi="Cambria Math"/>
            <w:lang w:val="en-US"/>
          </w:rPr>
          <m:t>C</m:t>
        </m:r>
      </m:oMath>
      <w:r>
        <w:rPr>
          <w:rFonts w:ascii="Calibri" w:eastAsia="SimSun" w:hAnsi="Calibri"/>
          <w:lang w:val="en-US" w:eastAsia="zh-CN"/>
        </w:rPr>
        <w:t xml:space="preserve"> at the near end.</w:t>
      </w:r>
    </w:p>
    <w:p w14:paraId="7BC13D1D"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 xml:space="preserve">Replace </w:t>
      </w:r>
      <m:oMath>
        <m:sSub>
          <m:sSubPr>
            <m:ctrlPr>
              <w:rPr>
                <w:rFonts w:ascii="Cambria Math" w:hAnsi="Cambria Math"/>
                <w:i/>
                <w:iCs/>
              </w:rPr>
            </m:ctrlPr>
          </m:sSubPr>
          <m:e>
            <m:r>
              <w:rPr>
                <w:rFonts w:ascii="Cambria Math" w:hAnsi="Cambria Math"/>
              </w:rPr>
              <m:t>H</m:t>
            </m:r>
          </m:e>
          <m:sub>
            <m:r>
              <w:rPr>
                <w:rFonts w:ascii="Cambria Math" w:hAnsi="Cambria Math"/>
              </w:rPr>
              <m:t>v</m:t>
            </m:r>
          </m:sub>
        </m:sSub>
      </m:oMath>
      <w:r>
        <w:rPr>
          <w:rFonts w:ascii="Calibri" w:eastAsia="SimSun" w:hAnsi="Calibri"/>
          <w:lang w:val="en-US" w:eastAsia="zh-CN"/>
        </w:rPr>
        <w:t xml:space="preserve"> with </w:t>
      </w:r>
      <m:oMath>
        <m:sSub>
          <m:sSubPr>
            <m:ctrlPr>
              <w:rPr>
                <w:rFonts w:ascii="Cambria Math" w:hAnsi="Cambria Math"/>
                <w:i/>
                <w:iCs/>
              </w:rPr>
            </m:ctrlPr>
          </m:sSubPr>
          <m:e>
            <m:r>
              <w:rPr>
                <w:rFonts w:ascii="Cambria Math" w:hAnsi="Cambria Math"/>
              </w:rPr>
              <m:t>H</m:t>
            </m:r>
          </m:e>
          <m:sub>
            <m:r>
              <w:rPr>
                <w:rFonts w:ascii="Cambria Math" w:hAnsi="Cambria Math"/>
              </w:rPr>
              <m:t>v</m:t>
            </m:r>
            <m:r>
              <w:rPr>
                <w:rFonts w:ascii="Cambria Math" w:hAnsi="Cambria Math"/>
                <w:lang w:val="en-US" w:eastAsia="zh-CN"/>
              </w:rPr>
              <m:t>,</m:t>
            </m:r>
            <m:r>
              <w:rPr>
                <w:rFonts w:ascii="Cambria Math" w:hAnsi="Cambria Math"/>
                <w:lang w:val="en-US" w:eastAsia="zh-CN"/>
              </w:rPr>
              <m:t>min</m:t>
            </m:r>
          </m:sub>
        </m:sSub>
      </m:oMath>
      <w:r>
        <w:rPr>
          <w:rFonts w:ascii="Calibri" w:eastAsia="SimSun" w:hAnsi="Calibri"/>
          <w:lang w:val="en-US" w:eastAsia="zh-CN"/>
        </w:rPr>
        <w:t xml:space="preserve"> in Formula (</w:t>
      </w:r>
      <w:r>
        <w:rPr>
          <w:rFonts w:ascii="Calibri" w:eastAsia="SimSun" w:hAnsi="Calibri" w:hint="eastAsia"/>
          <w:lang w:val="en-US" w:eastAsia="zh-CN"/>
        </w:rPr>
        <w:t>43</w:t>
      </w:r>
      <w:r>
        <w:rPr>
          <w:rFonts w:ascii="Calibri" w:eastAsia="SimSun" w:hAnsi="Calibri"/>
          <w:lang w:val="en-US" w:eastAsia="zh-CN"/>
        </w:rPr>
        <w:t>) and Formula (4</w:t>
      </w:r>
      <w:r>
        <w:rPr>
          <w:rFonts w:ascii="Calibri" w:eastAsia="SimSun" w:hAnsi="Calibri" w:hint="eastAsia"/>
          <w:lang w:val="en-US" w:eastAsia="zh-CN"/>
        </w:rPr>
        <w:t>4</w:t>
      </w:r>
      <w:r>
        <w:rPr>
          <w:rFonts w:ascii="Calibri" w:eastAsia="SimSun" w:hAnsi="Calibri"/>
          <w:lang w:val="en-US" w:eastAsia="zh-CN"/>
        </w:rPr>
        <w:t xml:space="preserve">) of Section </w:t>
      </w:r>
      <w:proofErr w:type="gramStart"/>
      <w:r>
        <w:rPr>
          <w:rFonts w:ascii="Calibri" w:eastAsia="SimSun" w:hAnsi="Calibri"/>
          <w:lang w:val="en-US" w:eastAsia="zh-CN"/>
        </w:rPr>
        <w:t>5.9.2.</w:t>
      </w:r>
      <w:r>
        <w:rPr>
          <w:rFonts w:ascii="Calibri" w:eastAsia="SimSun" w:hAnsi="Calibri" w:hint="eastAsia"/>
          <w:lang w:val="en-US" w:eastAsia="zh-CN"/>
        </w:rPr>
        <w:t>4  maintain</w:t>
      </w:r>
      <w:proofErr w:type="gramEnd"/>
      <w:r>
        <w:rPr>
          <w:rFonts w:ascii="Calibri" w:eastAsia="SimSun" w:hAnsi="Calibri" w:hint="eastAsia"/>
          <w:lang w:val="en-US" w:eastAsia="zh-CN"/>
        </w:rPr>
        <w:t xml:space="preserve"> consistency with the Excel design tool, i.e., to account for the worst-case scenario.</w:t>
      </w:r>
    </w:p>
    <w:p w14:paraId="7BC13D1E" w14:textId="77777777" w:rsidR="007309FD" w:rsidRDefault="00213240">
      <w:pPr>
        <w:pStyle w:val="BodyText"/>
        <w:numPr>
          <w:ilvl w:val="0"/>
          <w:numId w:val="16"/>
        </w:numPr>
        <w:rPr>
          <w:rFonts w:ascii="Calibri" w:eastAsia="SimSun" w:hAnsi="Calibri"/>
          <w:lang w:val="en-US" w:eastAsia="zh-CN"/>
        </w:rPr>
      </w:pPr>
      <w:r>
        <w:rPr>
          <w:rFonts w:ascii="Calibri" w:eastAsia="SimSun" w:hAnsi="Calibri"/>
          <w:lang w:val="en-US" w:eastAsia="zh-CN"/>
        </w:rPr>
        <w:t>Revise Formula (46) in Section 5.9.2.5 from ‘</w:t>
      </w:r>
      <m:oMath>
        <m:sSub>
          <m:sSubPr>
            <m:ctrlPr>
              <w:rPr>
                <w:rFonts w:ascii="Cambria Math" w:hAnsi="Cambria Math" w:hint="eastAsia"/>
                <w:lang w:val="en-US" w:eastAsia="zh-CN"/>
              </w:rPr>
            </m:ctrlPr>
          </m:sSubPr>
          <m:e>
            <m:r>
              <m:rPr>
                <m:sty m:val="p"/>
              </m:rPr>
              <w:rPr>
                <w:rFonts w:ascii="Cambria Math" w:hAnsi="Cambria Math" w:hint="eastAsia"/>
                <w:lang w:val="en-US" w:eastAsia="zh-CN"/>
              </w:rPr>
              <m:t>H</m:t>
            </m:r>
          </m:e>
          <m:sub>
            <m:r>
              <m:rPr>
                <m:sty m:val="p"/>
              </m:rPr>
              <w:rPr>
                <w:rFonts w:ascii="Cambria Math" w:hAnsi="Cambria Math" w:hint="eastAsia"/>
                <w:lang w:val="en-US" w:eastAsia="zh-CN"/>
              </w:rPr>
              <m:t>RL,min8</m:t>
            </m:r>
          </m:sub>
        </m:sSub>
        <m:r>
          <m:rPr>
            <m:sty m:val="p"/>
          </m:rPr>
          <w:rPr>
            <w:rFonts w:ascii="Cambria Math" w:hAnsi="Cambria Math" w:hint="eastAsia"/>
            <w:lang w:val="en-US" w:eastAsia="zh-CN"/>
          </w:rPr>
          <m:t>=</m:t>
        </m:r>
        <m:sSub>
          <m:sSubPr>
            <m:ctrlPr>
              <w:rPr>
                <w:rFonts w:ascii="Cambria Math" w:hAnsi="Cambria Math" w:hint="eastAsia"/>
                <w:lang w:val="en-US" w:eastAsia="zh-CN"/>
              </w:rPr>
            </m:ctrlPr>
          </m:sSubPr>
          <m:e>
            <m:f>
              <m:fPr>
                <m:ctrlPr>
                  <w:rPr>
                    <w:rFonts w:ascii="Cambria Math" w:hAnsi="Cambria Math" w:hint="eastAsia"/>
                    <w:lang w:val="en-US" w:eastAsia="zh-CN"/>
                  </w:rPr>
                </m:ctrlPr>
              </m:fPr>
              <m:num>
                <m:r>
                  <m:rPr>
                    <m:sty m:val="p"/>
                  </m:rPr>
                  <w:rPr>
                    <w:rFonts w:ascii="Cambria Math" w:hAnsi="Cambria Math" w:hint="eastAsia"/>
                    <w:lang w:val="en-US" w:eastAsia="zh-CN"/>
                  </w:rPr>
                  <m:t>1</m:t>
                </m:r>
              </m:num>
              <m:den>
                <m:r>
                  <m:rPr>
                    <m:sty m:val="p"/>
                  </m:rPr>
                  <w:rPr>
                    <w:rFonts w:ascii="Cambria Math" w:hAnsi="Cambria Math" w:hint="eastAsia"/>
                    <w:lang w:val="en-US" w:eastAsia="zh-CN"/>
                  </w:rPr>
                  <m:t>2</m:t>
                </m:r>
              </m:den>
            </m:f>
            <m:r>
              <m:rPr>
                <m:sty m:val="p"/>
              </m:rPr>
              <w:rPr>
                <w:rFonts w:ascii="Cambria Math" w:hAnsi="Cambria Math" w:hint="eastAsia"/>
                <w:lang w:val="en-US" w:eastAsia="zh-CN"/>
              </w:rPr>
              <m:t>∙</m:t>
            </m:r>
            <m:r>
              <m:rPr>
                <m:sty m:val="p"/>
              </m:rPr>
              <w:rPr>
                <w:rFonts w:ascii="Cambria Math" w:hAnsi="Cambria Math" w:hint="eastAsia"/>
                <w:lang w:val="en-US" w:eastAsia="zh-CN"/>
              </w:rPr>
              <m:t>L</m:t>
            </m:r>
          </m:e>
          <m:sub>
            <m:r>
              <m:rPr>
                <m:sty m:val="p"/>
              </m:rPr>
              <w:rPr>
                <w:rFonts w:ascii="Cambria Math" w:hAnsi="Cambria Math" w:hint="eastAsia"/>
                <w:lang w:val="en-US" w:eastAsia="zh-CN"/>
              </w:rPr>
              <m:t>RL,DM,sel</m:t>
            </m:r>
          </m:sub>
        </m:sSub>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H</m:t>
            </m:r>
          </m:e>
          <m:sub>
            <m:r>
              <m:rPr>
                <m:sty m:val="p"/>
              </m:rPr>
              <w:rPr>
                <w:rFonts w:ascii="Cambria Math" w:hAnsi="Cambria Math" w:hint="eastAsia"/>
                <w:lang w:val="en-US" w:eastAsia="zh-CN"/>
              </w:rPr>
              <m:t>v</m:t>
            </m:r>
          </m:sub>
        </m:sSub>
        <m:r>
          <m:rPr>
            <m:sty m:val="p"/>
          </m:rPr>
          <w:rPr>
            <w:rFonts w:ascii="Cambria Math" w:hAnsi="Cambria Math" w:hint="eastAsia"/>
            <w:lang w:val="en-US" w:eastAsia="zh-CN"/>
          </w:rPr>
          <m:t>-</m:t>
        </m:r>
        <m:r>
          <m:rPr>
            <m:sty m:val="p"/>
          </m:rPr>
          <w:rPr>
            <w:rFonts w:ascii="Cambria Math" w:hAnsi="Cambria Math" w:hint="eastAsia"/>
            <w:lang w:val="en-US" w:eastAsia="zh-CN"/>
          </w:rPr>
          <m:t>MTR+</m:t>
        </m:r>
        <m:d>
          <m:dPr>
            <m:ctrlPr>
              <w:rPr>
                <w:rFonts w:ascii="Cambria Math" w:hAnsi="Cambria Math" w:hint="eastAsia"/>
                <w:lang w:val="en-US" w:eastAsia="zh-CN"/>
              </w:rPr>
            </m:ctrlPr>
          </m:dPr>
          <m:e>
            <m:r>
              <m:rPr>
                <m:sty m:val="p"/>
              </m:rPr>
              <w:rPr>
                <w:rFonts w:ascii="Cambria Math" w:hAnsi="Cambria Math" w:hint="eastAsia"/>
                <w:lang w:val="en-US" w:eastAsia="zh-CN"/>
              </w:rPr>
              <m:t>M+R</m:t>
            </m:r>
          </m:e>
        </m:d>
        <m:r>
          <m:rPr>
            <m:sty m:val="p"/>
          </m:rPr>
          <w:rPr>
            <w:rFonts w:ascii="Cambria Math" w:hAnsi="Cambria Math" w:hint="eastAsia"/>
            <w:lang w:val="en-US" w:eastAsia="zh-CN"/>
          </w:rPr>
          <m:t>∙</m:t>
        </m:r>
        <m:f>
          <m:fPr>
            <m:ctrlPr>
              <w:rPr>
                <w:rFonts w:ascii="Cambria Math" w:hAnsi="Cambria Math" w:hint="eastAsia"/>
                <w:lang w:val="en-US" w:eastAsia="zh-CN"/>
              </w:rPr>
            </m:ctrlPr>
          </m:fPr>
          <m:num>
            <m:d>
              <m:dPr>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H</m:t>
                    </m:r>
                  </m:e>
                  <m:sub>
                    <m:r>
                      <m:rPr>
                        <m:sty m:val="p"/>
                      </m:rPr>
                      <w:rPr>
                        <w:rFonts w:ascii="Cambria Math" w:hAnsi="Cambria Math" w:hint="eastAsia"/>
                        <w:lang w:val="en-US" w:eastAsia="zh-CN"/>
                      </w:rPr>
                      <m:t>FL,sel</m:t>
                    </m:r>
                  </m:sub>
                </m:sSub>
                <m:r>
                  <m:rPr>
                    <m:sty m:val="p"/>
                  </m:rPr>
                  <w:rPr>
                    <w:rFonts w:ascii="Cambria Math" w:hAnsi="Cambria Math" w:hint="eastAsia"/>
                    <w:lang w:val="en-US" w:eastAsia="zh-CN"/>
                  </w:rPr>
                  <m:t>+MTR</m:t>
                </m:r>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H</m:t>
                    </m:r>
                  </m:e>
                  <m:sub>
                    <m:r>
                      <m:rPr>
                        <m:sty m:val="p"/>
                      </m:rPr>
                      <w:rPr>
                        <w:rFonts w:ascii="Cambria Math" w:hAnsi="Cambria Math" w:hint="eastAsia"/>
                        <w:lang w:val="en-US" w:eastAsia="zh-CN"/>
                      </w:rPr>
                      <m:t>v</m:t>
                    </m:r>
                  </m:sub>
                </m:sSub>
              </m:e>
            </m:d>
          </m:num>
          <m:den>
            <m:r>
              <m:rPr>
                <m:sty m:val="p"/>
              </m:rPr>
              <w:rPr>
                <w:rFonts w:ascii="Cambria Math" w:hAnsi="Cambria Math" w:hint="eastAsia"/>
                <w:lang w:val="en-US" w:eastAsia="zh-CN"/>
              </w:rPr>
              <m:t>M+C</m:t>
            </m:r>
          </m:den>
        </m:f>
        <m:r>
          <m:rPr>
            <m:sty m:val="p"/>
          </m:rPr>
          <w:rPr>
            <w:rFonts w:ascii="Cambria Math" w:hAnsi="Cambria Math" w:hint="eastAsia"/>
            <w:lang w:val="en-US" w:eastAsia="zh-CN"/>
          </w:rPr>
          <m:t>+</m:t>
        </m:r>
        <m:r>
          <m:rPr>
            <m:sty m:val="p"/>
          </m:rPr>
          <w:rPr>
            <w:rFonts w:ascii="Cambria Math" w:hAnsi="Cambria Math" w:hint="eastAsia"/>
            <w:lang w:val="en-US" w:eastAsia="zh-CN"/>
          </w:rPr>
          <m:t>α∙</m:t>
        </m:r>
        <m:d>
          <m:dPr>
            <m:ctrlPr>
              <w:rPr>
                <w:rFonts w:ascii="Cambria Math" w:hAnsi="Cambria Math" w:hint="eastAsia"/>
                <w:lang w:val="en-US" w:eastAsia="zh-CN"/>
              </w:rPr>
            </m:ctrlPr>
          </m:dPr>
          <m:e>
            <m:r>
              <m:rPr>
                <m:sty m:val="p"/>
              </m:rPr>
              <w:rPr>
                <w:rFonts w:ascii="Cambria Math" w:hAnsi="Cambria Math" w:hint="eastAsia"/>
                <w:lang w:val="en-US" w:eastAsia="zh-CN"/>
              </w:rPr>
              <m:t>M+R</m:t>
            </m:r>
          </m:e>
        </m:d>
        <m:r>
          <m:rPr>
            <m:sty m:val="p"/>
          </m:rPr>
          <w:rPr>
            <w:rFonts w:ascii="Cambria Math" w:hAnsi="Cambria Math" w:hint="eastAsia"/>
            <w:lang w:val="en-US" w:eastAsia="zh-CN"/>
          </w:rPr>
          <m:t>∙</m:t>
        </m:r>
        <m:r>
          <m:rPr>
            <m:sty m:val="p"/>
          </m:rPr>
          <w:rPr>
            <w:rFonts w:ascii="Cambria Math" w:hAnsi="Cambria Math" w:hint="eastAsia"/>
            <w:lang w:val="en-US" w:eastAsia="zh-CN"/>
          </w:rPr>
          <m:t>R</m:t>
        </m:r>
      </m:oMath>
      <w:r>
        <w:rPr>
          <w:rFonts w:ascii="Calibri" w:eastAsia="SimSun" w:hAnsi="Calibri"/>
          <w:lang w:val="en-US" w:eastAsia="zh-CN"/>
        </w:rPr>
        <w:t>’ to ‘</w:t>
      </w:r>
      <m:oMath>
        <m:sSub>
          <m:sSubPr>
            <m:ctrlPr>
              <w:rPr>
                <w:rFonts w:ascii="Cambria Math" w:hAnsi="Cambria Math"/>
                <w:i/>
                <w:iCs/>
                <w:sz w:val="21"/>
                <w:szCs w:val="21"/>
              </w:rPr>
            </m:ctrlPr>
          </m:sSubPr>
          <m:e>
            <m:r>
              <w:rPr>
                <w:rFonts w:ascii="Cambria Math" w:hAnsi="Cambria Math"/>
                <w:sz w:val="21"/>
                <w:szCs w:val="21"/>
              </w:rPr>
              <m:t>H</m:t>
            </m:r>
          </m:e>
          <m:sub>
            <m:r>
              <w:rPr>
                <w:rFonts w:ascii="Cambria Math" w:hAnsi="Cambria Math"/>
                <w:sz w:val="21"/>
                <w:szCs w:val="21"/>
              </w:rPr>
              <m:t>RL</m:t>
            </m:r>
            <m:r>
              <w:rPr>
                <w:rFonts w:ascii="Cambria Math" w:hAnsi="Cambria Math"/>
                <w:sz w:val="21"/>
                <w:szCs w:val="21"/>
              </w:rPr>
              <m:t>,</m:t>
            </m:r>
            <m:r>
              <w:rPr>
                <w:rFonts w:ascii="Cambria Math" w:hAnsi="Cambria Math"/>
                <w:sz w:val="21"/>
                <w:szCs w:val="21"/>
              </w:rPr>
              <m:t>min</m:t>
            </m:r>
            <m:r>
              <w:rPr>
                <w:rFonts w:ascii="Cambria Math" w:hAnsi="Cambria Math"/>
                <w:sz w:val="21"/>
                <w:szCs w:val="21"/>
              </w:rPr>
              <m:t>8</m:t>
            </m:r>
          </m:sub>
        </m:sSub>
        <m:r>
          <w:rPr>
            <w:rFonts w:ascii="Cambria Math" w:hAnsi="Cambria Math"/>
            <w:sz w:val="21"/>
            <w:szCs w:val="21"/>
          </w:rPr>
          <m:t>=</m:t>
        </m:r>
        <m:sSub>
          <m:sSubPr>
            <m:ctrlPr>
              <w:rPr>
                <w:rFonts w:ascii="Cambria Math" w:hAnsi="Cambria Math"/>
                <w:i/>
                <w:iCs/>
                <w:sz w:val="21"/>
                <w:szCs w:val="21"/>
              </w:rPr>
            </m:ctrlPr>
          </m:sSubPr>
          <m:e>
            <m:f>
              <m:fPr>
                <m:ctrlPr>
                  <w:rPr>
                    <w:rFonts w:ascii="Cambria Math" w:hAnsi="Cambria Math"/>
                    <w:i/>
                    <w:iCs/>
                    <w:sz w:val="21"/>
                    <w:szCs w:val="21"/>
                  </w:rPr>
                </m:ctrlPr>
              </m:fPr>
              <m:num>
                <m:r>
                  <w:rPr>
                    <w:rFonts w:ascii="Cambria Math" w:hAnsi="Cambria Math"/>
                    <w:sz w:val="21"/>
                    <w:szCs w:val="21"/>
                  </w:rPr>
                  <m:t>1</m:t>
                </m:r>
              </m:num>
              <m:den>
                <m:r>
                  <w:rPr>
                    <w:rFonts w:ascii="Cambria Math" w:hAnsi="Cambria Math"/>
                    <w:sz w:val="21"/>
                    <w:szCs w:val="21"/>
                  </w:rPr>
                  <m:t>2</m:t>
                </m:r>
              </m:den>
            </m:f>
            <m:r>
              <w:rPr>
                <w:rFonts w:ascii="Cambria Math" w:hAnsi="Cambria Math"/>
                <w:sz w:val="21"/>
                <w:szCs w:val="21"/>
              </w:rPr>
              <m:t>∙</m:t>
            </m:r>
            <m:r>
              <w:rPr>
                <w:rFonts w:ascii="Cambria Math" w:hAnsi="Cambria Math"/>
                <w:sz w:val="21"/>
                <w:szCs w:val="21"/>
              </w:rPr>
              <m:t>L</m:t>
            </m:r>
          </m:e>
          <m:sub>
            <m:r>
              <w:rPr>
                <w:rFonts w:ascii="Cambria Math" w:hAnsi="Cambria Math"/>
                <w:sz w:val="21"/>
                <w:szCs w:val="21"/>
              </w:rPr>
              <m:t>RDM</m:t>
            </m:r>
            <m:r>
              <w:rPr>
                <w:rFonts w:ascii="Cambria Math" w:hAnsi="Cambria Math"/>
                <w:sz w:val="21"/>
                <w:szCs w:val="21"/>
              </w:rPr>
              <m:t>,</m:t>
            </m:r>
            <m:r>
              <w:rPr>
                <w:rFonts w:ascii="Cambria Math" w:hAnsi="Cambria Math"/>
                <w:sz w:val="21"/>
                <w:szCs w:val="21"/>
              </w:rPr>
              <m:t>sel</m:t>
            </m:r>
          </m:sub>
        </m:sSub>
        <m: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H</m:t>
            </m:r>
          </m:e>
          <m:sub>
            <m:r>
              <w:rPr>
                <w:rFonts w:ascii="Cambria Math" w:hAnsi="Cambria Math"/>
                <w:sz w:val="21"/>
                <w:szCs w:val="21"/>
              </w:rPr>
              <m:t>v</m:t>
            </m:r>
            <m:r>
              <w:rPr>
                <w:rFonts w:ascii="Cambria Math" w:hAnsi="Cambria Math"/>
                <w:sz w:val="21"/>
                <w:szCs w:val="21"/>
              </w:rPr>
              <m:t>,</m:t>
            </m:r>
            <m:r>
              <w:rPr>
                <w:rFonts w:ascii="Cambria Math" w:hAnsi="Cambria Math"/>
                <w:sz w:val="21"/>
                <w:szCs w:val="21"/>
              </w:rPr>
              <m:t>min</m:t>
            </m:r>
          </m:sub>
        </m:sSub>
        <m:r>
          <w:rPr>
            <w:rFonts w:ascii="Cambria Math" w:hAnsi="Cambria Math"/>
            <w:sz w:val="21"/>
            <w:szCs w:val="21"/>
          </w:rPr>
          <m:t>-</m:t>
        </m:r>
        <m:r>
          <w:rPr>
            <w:rFonts w:ascii="Cambria Math" w:hAnsi="Cambria Math"/>
            <w:sz w:val="21"/>
            <w:szCs w:val="21"/>
          </w:rPr>
          <m:t>MTR</m:t>
        </m:r>
        <m:r>
          <w:rPr>
            <w:rFonts w:ascii="Cambria Math" w:hAnsi="Cambria Math"/>
            <w:sz w:val="21"/>
            <w:szCs w:val="21"/>
          </w:rPr>
          <m:t>+</m:t>
        </m:r>
        <m:f>
          <m:fPr>
            <m:ctrlPr>
              <w:rPr>
                <w:rFonts w:ascii="Cambria Math" w:hAnsi="Cambria Math"/>
                <w:i/>
                <w:iCs/>
                <w:sz w:val="21"/>
                <w:szCs w:val="21"/>
              </w:rPr>
            </m:ctrlPr>
          </m:fPr>
          <m:num>
            <m:r>
              <w:rPr>
                <w:rFonts w:ascii="Cambria Math" w:hAnsi="Cambria Math"/>
                <w:sz w:val="21"/>
                <w:szCs w:val="21"/>
              </w:rPr>
              <m:t>M</m:t>
            </m:r>
            <m:r>
              <w:rPr>
                <w:rFonts w:ascii="Cambria Math" w:hAnsi="Cambria Math"/>
                <w:sz w:val="21"/>
                <w:szCs w:val="21"/>
              </w:rPr>
              <m:t>+</m:t>
            </m:r>
            <m:r>
              <w:rPr>
                <w:rFonts w:ascii="Cambria Math" w:hAnsi="Cambria Math"/>
                <w:sz w:val="21"/>
                <w:szCs w:val="21"/>
              </w:rPr>
              <m:t>R</m:t>
            </m:r>
          </m:num>
          <m:den>
            <m:r>
              <w:rPr>
                <w:rFonts w:ascii="Cambria Math" w:hAnsi="Cambria Math"/>
                <w:sz w:val="21"/>
                <w:szCs w:val="21"/>
              </w:rPr>
              <m:t>S</m:t>
            </m:r>
          </m:den>
        </m:f>
        <m:r>
          <w:rPr>
            <w:rFonts w:ascii="Cambria Math" w:hAnsi="Cambria Math"/>
            <w:sz w:val="21"/>
            <w:szCs w:val="21"/>
          </w:rPr>
          <m:t>∙</m:t>
        </m:r>
        <m:d>
          <m:dPr>
            <m:ctrlPr>
              <w:rPr>
                <w:rFonts w:ascii="Cambria Math" w:hAnsi="Cambria Math"/>
                <w:i/>
                <w:iCs/>
                <w:sz w:val="21"/>
                <w:szCs w:val="21"/>
              </w:rPr>
            </m:ctrlPr>
          </m:dPr>
          <m:e>
            <m:sSub>
              <m:sSubPr>
                <m:ctrlPr>
                  <w:rPr>
                    <w:rFonts w:ascii="Cambria Math" w:hAnsi="Cambria Math"/>
                    <w:i/>
                    <w:iCs/>
                    <w:sz w:val="21"/>
                    <w:szCs w:val="21"/>
                  </w:rPr>
                </m:ctrlPr>
              </m:sSubPr>
              <m:e>
                <m:r>
                  <w:rPr>
                    <w:rFonts w:ascii="Cambria Math" w:hAnsi="Cambria Math"/>
                    <w:sz w:val="21"/>
                    <w:szCs w:val="21"/>
                  </w:rPr>
                  <m:t>H</m:t>
                </m:r>
              </m:e>
              <m:sub>
                <m:r>
                  <w:rPr>
                    <w:rFonts w:ascii="Cambria Math" w:hAnsi="Cambria Math"/>
                    <w:sz w:val="21"/>
                    <w:szCs w:val="21"/>
                  </w:rPr>
                  <m:t>obs</m:t>
                </m:r>
              </m:sub>
            </m:sSub>
            <m: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H</m:t>
                </m:r>
              </m:e>
              <m:sub>
                <m:r>
                  <w:rPr>
                    <w:rFonts w:ascii="Cambria Math" w:hAnsi="Cambria Math"/>
                    <w:sz w:val="21"/>
                    <w:szCs w:val="21"/>
                  </w:rPr>
                  <m:t>v</m:t>
                </m:r>
                <m:r>
                  <w:rPr>
                    <w:rFonts w:ascii="Cambria Math" w:hAnsi="Cambria Math"/>
                    <w:sz w:val="21"/>
                    <w:szCs w:val="21"/>
                  </w:rPr>
                  <m:t>,</m:t>
                </m:r>
                <m:r>
                  <w:rPr>
                    <w:rFonts w:ascii="Cambria Math" w:hAnsi="Cambria Math"/>
                    <w:sz w:val="21"/>
                    <w:szCs w:val="21"/>
                  </w:rPr>
                  <m:t>min</m:t>
                </m:r>
              </m:sub>
            </m:sSub>
            <m:r>
              <w:rPr>
                <w:rFonts w:ascii="Cambria Math" w:hAnsi="Cambria Math"/>
                <w:sz w:val="21"/>
                <w:szCs w:val="21"/>
              </w:rPr>
              <m:t>+</m:t>
            </m:r>
            <m:r>
              <w:rPr>
                <w:rFonts w:ascii="Cambria Math" w:hAnsi="Cambria Math"/>
                <w:sz w:val="21"/>
                <w:szCs w:val="21"/>
              </w:rPr>
              <m:t>MTR</m:t>
            </m:r>
          </m:e>
        </m:d>
        <m:r>
          <w:rPr>
            <w:rFonts w:ascii="Cambria Math" w:hAnsi="Cambria Math"/>
            <w:sz w:val="21"/>
            <w:szCs w:val="21"/>
          </w:rPr>
          <m:t>+</m:t>
        </m:r>
        <m:r>
          <w:rPr>
            <w:rFonts w:ascii="Cambria Math" w:hAnsi="Cambria Math"/>
            <w:sz w:val="21"/>
            <w:szCs w:val="21"/>
          </w:rPr>
          <m:t>α</m:t>
        </m:r>
        <m:r>
          <w:rPr>
            <w:rFonts w:ascii="Cambria Math" w:hAnsi="Cambria Math"/>
            <w:sz w:val="21"/>
            <w:szCs w:val="21"/>
          </w:rPr>
          <m:t>∙</m:t>
        </m:r>
        <m:d>
          <m:dPr>
            <m:ctrlPr>
              <w:rPr>
                <w:rFonts w:ascii="Cambria Math" w:hAnsi="Cambria Math"/>
                <w:i/>
                <w:iCs/>
                <w:sz w:val="21"/>
                <w:szCs w:val="21"/>
              </w:rPr>
            </m:ctrlPr>
          </m:dPr>
          <m:e>
            <m:r>
              <w:rPr>
                <w:rFonts w:ascii="Cambria Math" w:hAnsi="Cambria Math"/>
                <w:sz w:val="21"/>
                <w:szCs w:val="21"/>
              </w:rPr>
              <m:t>M</m:t>
            </m:r>
            <m:r>
              <w:rPr>
                <w:rFonts w:ascii="Cambria Math" w:hAnsi="Cambria Math"/>
                <w:sz w:val="21"/>
                <w:szCs w:val="21"/>
              </w:rPr>
              <m:t>+</m:t>
            </m:r>
            <m:r>
              <w:rPr>
                <w:rFonts w:ascii="Cambria Math" w:hAnsi="Cambria Math"/>
                <w:sz w:val="21"/>
                <w:szCs w:val="21"/>
              </w:rPr>
              <m:t>R</m:t>
            </m:r>
          </m:e>
        </m:d>
        <m:r>
          <w:rPr>
            <w:rFonts w:ascii="Cambria Math" w:hAnsi="Cambria Math"/>
            <w:sz w:val="21"/>
            <w:szCs w:val="21"/>
          </w:rPr>
          <m:t>∙</m:t>
        </m:r>
        <m:d>
          <m:dPr>
            <m:ctrlPr>
              <w:rPr>
                <w:rFonts w:ascii="Cambria Math" w:hAnsi="Cambria Math"/>
                <w:i/>
                <w:iCs/>
                <w:sz w:val="21"/>
                <w:szCs w:val="21"/>
              </w:rPr>
            </m:ctrlPr>
          </m:dPr>
          <m:e>
            <m:r>
              <w:rPr>
                <w:rFonts w:ascii="Cambria Math" w:hAnsi="Cambria Math"/>
                <w:sz w:val="21"/>
                <w:szCs w:val="21"/>
              </w:rPr>
              <m:t>M</m:t>
            </m:r>
            <m:r>
              <w:rPr>
                <w:rFonts w:ascii="Cambria Math" w:hAnsi="Cambria Math"/>
                <w:sz w:val="21"/>
                <w:szCs w:val="21"/>
              </w:rPr>
              <m:t>+</m:t>
            </m:r>
            <m:r>
              <w:rPr>
                <w:rFonts w:ascii="Cambria Math" w:hAnsi="Cambria Math"/>
                <w:sz w:val="21"/>
                <w:szCs w:val="21"/>
              </w:rPr>
              <m:t>R</m:t>
            </m:r>
            <m:r>
              <w:rPr>
                <w:rFonts w:ascii="Cambria Math" w:hAnsi="Cambria Math"/>
                <w:sz w:val="21"/>
                <w:szCs w:val="21"/>
              </w:rPr>
              <m:t>-</m:t>
            </m:r>
            <m:r>
              <w:rPr>
                <w:rFonts w:ascii="Cambria Math" w:hAnsi="Cambria Math"/>
                <w:sz w:val="21"/>
                <w:szCs w:val="21"/>
              </w:rPr>
              <m:t>S</m:t>
            </m:r>
          </m:e>
        </m:d>
      </m:oMath>
      <w:r>
        <w:rPr>
          <w:rFonts w:ascii="Calibri" w:eastAsia="SimSun" w:hAnsi="Calibri"/>
          <w:lang w:val="en-US" w:eastAsia="zh-CN"/>
        </w:rPr>
        <w:t>’ as this formula should be evolved from Formula (44) in Section 5.9.2.4.</w:t>
      </w:r>
    </w:p>
    <w:p w14:paraId="7BC13D1F" w14:textId="77777777" w:rsidR="007309FD" w:rsidRDefault="00213240">
      <w:pPr>
        <w:pStyle w:val="BodyText"/>
        <w:rPr>
          <w:rFonts w:ascii="Calibri" w:eastAsia="SimSun" w:hAnsi="Calibri"/>
          <w:lang w:val="en-US" w:eastAsia="zh-CN"/>
        </w:rPr>
      </w:pPr>
      <w:r>
        <w:rPr>
          <w:rFonts w:ascii="Calibri" w:eastAsia="SimSun" w:hAnsi="Calibri"/>
          <w:lang w:val="en-US" w:eastAsia="zh-CN"/>
        </w:rPr>
        <w:t xml:space="preserve">For details, please refer to the </w:t>
      </w:r>
      <w:r>
        <w:rPr>
          <w:rFonts w:ascii="Calibri" w:eastAsia="SimSun" w:hAnsi="Calibri" w:hint="eastAsia"/>
          <w:lang w:val="en-US" w:eastAsia="zh-CN"/>
        </w:rPr>
        <w:t>attached Draft Guideline G1023 on Design of Leading Lines</w:t>
      </w:r>
      <w:r>
        <w:rPr>
          <w:rFonts w:ascii="Calibri" w:eastAsia="SimSun" w:hAnsi="Calibri"/>
          <w:lang w:val="en-US" w:eastAsia="zh-CN"/>
        </w:rPr>
        <w:t>.</w:t>
      </w:r>
    </w:p>
    <w:p w14:paraId="7BC13D20" w14:textId="77777777" w:rsidR="007309FD" w:rsidRDefault="00213240">
      <w:pPr>
        <w:pStyle w:val="Heading2"/>
        <w:keepLines/>
        <w:tabs>
          <w:tab w:val="left" w:pos="567"/>
        </w:tabs>
        <w:spacing w:before="240" w:after="200" w:line="240" w:lineRule="atLeast"/>
        <w:ind w:right="709"/>
        <w:rPr>
          <w:rFonts w:eastAsiaTheme="majorEastAsia"/>
          <w:color w:val="00558C"/>
          <w:kern w:val="0"/>
          <w:lang w:eastAsia="en-US"/>
        </w:rPr>
      </w:pPr>
      <w:r>
        <w:rPr>
          <w:rFonts w:eastAsiaTheme="majorEastAsia"/>
          <w:color w:val="00558C"/>
          <w:kern w:val="0"/>
          <w:lang w:eastAsia="en-US"/>
        </w:rPr>
        <w:t>Draft of the content to be removed to IALA Wiki</w:t>
      </w:r>
    </w:p>
    <w:p w14:paraId="7BC13D21" w14:textId="77777777" w:rsidR="007309FD" w:rsidRDefault="00213240">
      <w:pPr>
        <w:pStyle w:val="BodyText"/>
        <w:numPr>
          <w:ilvl w:val="0"/>
          <w:numId w:val="17"/>
        </w:numPr>
        <w:rPr>
          <w:rFonts w:ascii="Calibri" w:eastAsia="SimSun" w:hAnsi="Calibri"/>
          <w:lang w:val="en-US" w:eastAsia="zh-CN"/>
        </w:rPr>
      </w:pPr>
      <w:r>
        <w:rPr>
          <w:rFonts w:ascii="Calibri" w:eastAsia="SimSun" w:hAnsi="Calibri" w:hint="eastAsia"/>
          <w:lang w:val="en-US" w:eastAsia="zh-CN"/>
        </w:rPr>
        <w:t>The history of leading line design.</w:t>
      </w:r>
    </w:p>
    <w:p w14:paraId="7BC13D22" w14:textId="77777777" w:rsidR="007309FD" w:rsidRDefault="00213240">
      <w:pPr>
        <w:pStyle w:val="BodyText"/>
        <w:numPr>
          <w:ilvl w:val="0"/>
          <w:numId w:val="17"/>
        </w:numPr>
        <w:rPr>
          <w:rFonts w:ascii="Calibri" w:eastAsia="SimSun" w:hAnsi="Calibri"/>
          <w:lang w:val="en-US" w:eastAsia="zh-CN"/>
        </w:rPr>
      </w:pPr>
      <w:r>
        <w:rPr>
          <w:rFonts w:ascii="Calibri" w:eastAsia="SimSun" w:hAnsi="Calibri"/>
          <w:lang w:val="en-US" w:eastAsia="zh-CN"/>
        </w:rPr>
        <w:t xml:space="preserve">Sensitivity of a </w:t>
      </w:r>
      <w:r>
        <w:rPr>
          <w:rFonts w:ascii="Calibri" w:eastAsia="SimSun" w:hAnsi="Calibri" w:hint="eastAsia"/>
          <w:lang w:val="en-US" w:eastAsia="zh-CN"/>
        </w:rPr>
        <w:t>l</w:t>
      </w:r>
      <w:r>
        <w:rPr>
          <w:rFonts w:ascii="Calibri" w:eastAsia="SimSun" w:hAnsi="Calibri"/>
          <w:lang w:val="en-US" w:eastAsia="zh-CN"/>
        </w:rPr>
        <w:t xml:space="preserve">eading </w:t>
      </w:r>
      <w:r>
        <w:rPr>
          <w:rFonts w:ascii="Calibri" w:eastAsia="SimSun" w:hAnsi="Calibri" w:hint="eastAsia"/>
          <w:lang w:val="en-US" w:eastAsia="zh-CN"/>
        </w:rPr>
        <w:t>l</w:t>
      </w:r>
      <w:r>
        <w:rPr>
          <w:rFonts w:ascii="Calibri" w:eastAsia="SimSun" w:hAnsi="Calibri"/>
          <w:lang w:val="en-US" w:eastAsia="zh-CN"/>
        </w:rPr>
        <w:t>ine</w:t>
      </w:r>
      <w:r>
        <w:rPr>
          <w:rFonts w:ascii="Calibri" w:eastAsia="SimSun" w:hAnsi="Calibri" w:hint="eastAsia"/>
          <w:lang w:val="en-US" w:eastAsia="zh-CN"/>
        </w:rPr>
        <w:t>.</w:t>
      </w:r>
    </w:p>
    <w:p w14:paraId="7BC13D23" w14:textId="77777777" w:rsidR="007309FD" w:rsidRDefault="00213240">
      <w:pPr>
        <w:pStyle w:val="BodyText"/>
        <w:numPr>
          <w:ilvl w:val="0"/>
          <w:numId w:val="17"/>
        </w:numPr>
        <w:rPr>
          <w:rFonts w:ascii="Calibri" w:eastAsia="SimSun" w:hAnsi="Calibri"/>
          <w:lang w:val="en-US" w:eastAsia="zh-CN"/>
        </w:rPr>
      </w:pPr>
      <w:r>
        <w:rPr>
          <w:rFonts w:ascii="Calibri" w:eastAsia="SimSun" w:hAnsi="Calibri" w:hint="eastAsia"/>
          <w:lang w:val="en-US" w:eastAsia="zh-CN"/>
        </w:rPr>
        <w:t>Simplified intensity calculation.</w:t>
      </w:r>
    </w:p>
    <w:p w14:paraId="7BC13D24" w14:textId="77777777" w:rsidR="007309FD" w:rsidRDefault="00213240">
      <w:pPr>
        <w:pStyle w:val="BodyText"/>
        <w:numPr>
          <w:ilvl w:val="0"/>
          <w:numId w:val="17"/>
        </w:numPr>
        <w:rPr>
          <w:rFonts w:ascii="Calibri" w:eastAsia="SimSun" w:hAnsi="Calibri"/>
          <w:lang w:val="en-US" w:eastAsia="zh-CN"/>
        </w:rPr>
      </w:pPr>
      <w:r>
        <w:rPr>
          <w:rFonts w:ascii="Calibri" w:eastAsia="SimSun" w:hAnsi="Calibri" w:hint="eastAsia"/>
          <w:lang w:val="en-US" w:eastAsia="zh-CN"/>
        </w:rPr>
        <w:t>Initial channel layout.</w:t>
      </w:r>
    </w:p>
    <w:p w14:paraId="7BC13D25" w14:textId="77777777" w:rsidR="007309FD" w:rsidRDefault="00213240">
      <w:pPr>
        <w:pStyle w:val="BodyText"/>
        <w:rPr>
          <w:rFonts w:ascii="Calibri" w:eastAsia="SimSun" w:hAnsi="Calibri"/>
          <w:lang w:val="en-US" w:eastAsia="zh-CN"/>
        </w:rPr>
      </w:pPr>
      <w:r>
        <w:rPr>
          <w:rFonts w:ascii="Calibri" w:eastAsia="SimSun" w:hAnsi="Calibri"/>
          <w:lang w:val="en-US" w:eastAsia="zh-CN"/>
        </w:rPr>
        <w:t xml:space="preserve">For details, please refer to the attached </w:t>
      </w:r>
      <w:r>
        <w:rPr>
          <w:rFonts w:ascii="Calibri" w:eastAsia="SimSun" w:hAnsi="Calibri" w:hint="eastAsia"/>
          <w:lang w:val="en-US" w:eastAsia="zh-CN"/>
        </w:rPr>
        <w:t>Additional and useful information about the design of leading line (to be removed to IALA Wiki in future)</w:t>
      </w:r>
      <w:r>
        <w:rPr>
          <w:rFonts w:ascii="Calibri" w:eastAsia="SimSun" w:hAnsi="Calibri"/>
          <w:lang w:val="en-US" w:eastAsia="zh-CN"/>
        </w:rPr>
        <w:t>.</w:t>
      </w:r>
    </w:p>
    <w:p w14:paraId="7BC13D26" w14:textId="77777777" w:rsidR="007309FD" w:rsidRDefault="00213240">
      <w:pPr>
        <w:pStyle w:val="Heading1"/>
        <w:keepLines/>
        <w:spacing w:after="200" w:line="240" w:lineRule="atLeast"/>
        <w:rPr>
          <w:rFonts w:eastAsiaTheme="majorEastAsia" w:cstheme="majorBidi"/>
          <w:bCs/>
          <w:color w:val="00558C"/>
          <w:kern w:val="0"/>
          <w:sz w:val="28"/>
          <w:szCs w:val="24"/>
          <w:lang w:val="en-US" w:eastAsia="zh-CN"/>
        </w:rPr>
      </w:pPr>
      <w:r>
        <w:rPr>
          <w:rFonts w:eastAsiaTheme="majorEastAsia" w:cstheme="majorBidi" w:hint="eastAsia"/>
          <w:bCs/>
          <w:color w:val="00558C"/>
          <w:kern w:val="0"/>
          <w:sz w:val="28"/>
          <w:szCs w:val="24"/>
          <w:lang w:val="en-US" w:eastAsia="zh-CN"/>
        </w:rPr>
        <w:lastRenderedPageBreak/>
        <w:t>reference</w:t>
      </w:r>
    </w:p>
    <w:p w14:paraId="7BC13D27" w14:textId="77777777" w:rsidR="007309FD" w:rsidRDefault="00213240">
      <w:pPr>
        <w:pStyle w:val="References"/>
        <w:numPr>
          <w:ilvl w:val="0"/>
          <w:numId w:val="18"/>
        </w:numPr>
        <w:rPr>
          <w:rFonts w:ascii="Calibri" w:hAnsi="Calibri"/>
        </w:rPr>
      </w:pPr>
      <w:bookmarkStart w:id="3" w:name="_Ref163664335"/>
      <w:r>
        <w:rPr>
          <w:rFonts w:ascii="Calibri" w:hAnsi="Calibri" w:hint="eastAsia"/>
        </w:rPr>
        <w:t>IALA. (2005) Recommendation R0112 Leading Lights</w:t>
      </w:r>
      <w:bookmarkEnd w:id="3"/>
    </w:p>
    <w:p w14:paraId="7BC13D28" w14:textId="77777777" w:rsidR="007309FD" w:rsidRDefault="00213240">
      <w:pPr>
        <w:pStyle w:val="References"/>
        <w:numPr>
          <w:ilvl w:val="0"/>
          <w:numId w:val="18"/>
        </w:numPr>
        <w:rPr>
          <w:rFonts w:ascii="Calibri" w:hAnsi="Calibri"/>
        </w:rPr>
      </w:pPr>
      <w:bookmarkStart w:id="4" w:name="_Ref163664355"/>
      <w:bookmarkStart w:id="5" w:name="_Ref163718533"/>
      <w:bookmarkEnd w:id="4"/>
      <w:r>
        <w:rPr>
          <w:rFonts w:ascii="Calibri" w:hAnsi="Calibri" w:hint="eastAsia"/>
        </w:rPr>
        <w:t>IALA. (2005) Guideline G1023 The Design of Leading Lines</w:t>
      </w:r>
      <w:bookmarkEnd w:id="5"/>
    </w:p>
    <w:p w14:paraId="7BC13D29" w14:textId="77777777" w:rsidR="007309FD" w:rsidRDefault="00213240">
      <w:pPr>
        <w:pStyle w:val="References"/>
        <w:numPr>
          <w:ilvl w:val="0"/>
          <w:numId w:val="18"/>
        </w:numPr>
        <w:rPr>
          <w:rFonts w:ascii="Calibri" w:hAnsi="Calibri"/>
        </w:rPr>
      </w:pPr>
      <w:bookmarkStart w:id="6" w:name="_Ref163715636"/>
      <w:r>
        <w:rPr>
          <w:rFonts w:ascii="Calibri" w:hAnsi="Calibri" w:hint="eastAsia"/>
        </w:rPr>
        <w:t>IALA. (2001) Design of Leading Lines Program (Excel Workbook)</w:t>
      </w:r>
      <w:bookmarkEnd w:id="6"/>
    </w:p>
    <w:p w14:paraId="7BC13D2A" w14:textId="77777777" w:rsidR="007309FD" w:rsidRDefault="00213240">
      <w:pPr>
        <w:pStyle w:val="References"/>
        <w:numPr>
          <w:ilvl w:val="0"/>
          <w:numId w:val="18"/>
        </w:numPr>
        <w:rPr>
          <w:rFonts w:ascii="Calibri" w:hAnsi="Calibri"/>
        </w:rPr>
      </w:pPr>
      <w:r>
        <w:rPr>
          <w:rFonts w:ascii="Calibri" w:hAnsi="Calibri" w:hint="eastAsia"/>
        </w:rPr>
        <w:t xml:space="preserve">IALA. (2021) Guideline G1148 Determination of Required Luminous Intensity for Marine Signal Lights </w:t>
      </w:r>
    </w:p>
    <w:p w14:paraId="7BC13D2B" w14:textId="77777777" w:rsidR="007309FD" w:rsidRDefault="00213240">
      <w:pPr>
        <w:pStyle w:val="Heading1"/>
        <w:keepLines/>
        <w:spacing w:after="200" w:line="240" w:lineRule="atLeast"/>
        <w:rPr>
          <w:rFonts w:eastAsiaTheme="majorEastAsia" w:cstheme="majorBidi"/>
          <w:bCs/>
          <w:color w:val="00558C"/>
          <w:kern w:val="0"/>
          <w:sz w:val="28"/>
          <w:szCs w:val="24"/>
          <w:lang w:val="en-US" w:eastAsia="zh-CN"/>
        </w:rPr>
      </w:pPr>
      <w:r>
        <w:rPr>
          <w:rFonts w:eastAsiaTheme="majorEastAsia" w:cstheme="majorBidi"/>
          <w:bCs/>
          <w:color w:val="00558C"/>
          <w:kern w:val="0"/>
          <w:sz w:val="28"/>
          <w:szCs w:val="24"/>
          <w:lang w:val="en-US" w:eastAsia="zh-CN"/>
        </w:rPr>
        <w:t>Action required of the committee</w:t>
      </w:r>
    </w:p>
    <w:p w14:paraId="7BC13D2C" w14:textId="77777777" w:rsidR="007309FD" w:rsidRDefault="00213240">
      <w:pPr>
        <w:pStyle w:val="BodyText"/>
        <w:rPr>
          <w:rFonts w:ascii="Calibri" w:eastAsia="SimSun" w:hAnsi="Calibri"/>
          <w:lang w:val="en-US" w:eastAsia="zh-CN"/>
        </w:rPr>
      </w:pPr>
      <w:r>
        <w:rPr>
          <w:rFonts w:ascii="Calibri" w:eastAsia="SimSun" w:hAnsi="Calibri" w:hint="eastAsia"/>
          <w:lang w:val="en-US" w:eastAsia="zh-CN"/>
        </w:rPr>
        <w:t>The Committee is invited to consider the attached draft Guideline on Design of Leading Line.</w:t>
      </w:r>
    </w:p>
    <w:p w14:paraId="7BC13D2D" w14:textId="77777777" w:rsidR="007309FD" w:rsidRDefault="007309FD">
      <w:pPr>
        <w:pStyle w:val="BodyText"/>
        <w:rPr>
          <w:rFonts w:ascii="Calibri" w:eastAsia="SimSun" w:hAnsi="Calibri"/>
          <w:lang w:val="en-US" w:eastAsia="zh-CN"/>
        </w:rPr>
      </w:pPr>
    </w:p>
    <w:sectPr w:rsidR="007309FD">
      <w:headerReference w:type="default" r:id="rId11"/>
      <w:footerReference w:type="default" r:id="rId12"/>
      <w:headerReference w:type="first" r:id="rId13"/>
      <w:footerReference w:type="firs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5157F" w14:textId="77777777" w:rsidR="00213240" w:rsidRDefault="00213240">
      <w:r>
        <w:separator/>
      </w:r>
    </w:p>
  </w:endnote>
  <w:endnote w:type="continuationSeparator" w:id="0">
    <w:p w14:paraId="05E4A8E4" w14:textId="77777777" w:rsidR="00213240" w:rsidRDefault="0021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3D31" w14:textId="77777777" w:rsidR="007309FD" w:rsidRDefault="00213240">
    <w:pPr>
      <w:pStyle w:val="Footerportrait"/>
    </w:pPr>
    <w:r>
      <w:rPr>
        <w:rFonts w:hint="eastAsia"/>
      </w:rPr>
      <w:t xml:space="preserve">Draft Guideline on </w:t>
    </w:r>
    <w:r>
      <w:t>G1023</w:t>
    </w:r>
    <w:r>
      <w:rPr>
        <w:rFonts w:eastAsia="SimSun" w:hint="eastAsia"/>
        <w:lang w:eastAsia="zh-CN"/>
      </w:rPr>
      <w:t xml:space="preserve"> on Design of Leading Lines</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1</w:t>
    </w:r>
    <w:r>
      <w:rPr>
        <w:rStyle w:val="PageNumber"/>
        <w:szCs w:val="15"/>
      </w:rPr>
      <w:fldChar w:fldCharType="end"/>
    </w:r>
  </w:p>
  <w:p w14:paraId="7BC13D32" w14:textId="77777777" w:rsidR="007309FD" w:rsidRDefault="007309FD">
    <w:pPr>
      <w:pStyle w:val="Footer"/>
      <w:rPr>
        <w:rFonts w:ascii="Calibri" w:hAnsi="Calibri"/>
        <w:lang w:eastAsia="zh-C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3D34" w14:textId="77777777" w:rsidR="007309FD" w:rsidRDefault="00213240">
    <w:pPr>
      <w:pStyle w:val="Footerportrait"/>
    </w:pPr>
    <w:r>
      <w:rPr>
        <w:rFonts w:hint="eastAsia"/>
      </w:rPr>
      <w:t xml:space="preserve">Draft Guideline </w:t>
    </w:r>
    <w:r>
      <w:t>G1023</w:t>
    </w:r>
    <w:r>
      <w:rPr>
        <w:rFonts w:eastAsia="SimSun" w:hint="eastAsia"/>
        <w:lang w:eastAsia="zh-CN"/>
      </w:rPr>
      <w:t xml:space="preserve"> on Design of Leading Lines</w:t>
    </w:r>
    <w:r>
      <w:rPr>
        <w:rFonts w:hint="eastAsia"/>
      </w:rPr>
      <w:t xml:space="preserve"> </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1</w:t>
    </w:r>
    <w:r>
      <w:rPr>
        <w:rStyle w:val="PageNumber"/>
        <w:szCs w:val="15"/>
      </w:rPr>
      <w:fldChar w:fldCharType="end"/>
    </w:r>
  </w:p>
  <w:p w14:paraId="7BC13D35" w14:textId="77777777" w:rsidR="007309FD" w:rsidRDefault="007309FD">
    <w:pPr>
      <w:pStyle w:val="Footer"/>
      <w:rPr>
        <w:rFonts w:ascii="Calibri" w:hAnsi="Calibri"/>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29449" w14:textId="77777777" w:rsidR="00213240" w:rsidRDefault="00213240">
      <w:r>
        <w:separator/>
      </w:r>
    </w:p>
  </w:footnote>
  <w:footnote w:type="continuationSeparator" w:id="0">
    <w:p w14:paraId="3C4F3730" w14:textId="77777777" w:rsidR="00213240" w:rsidRDefault="00213240">
      <w:r>
        <w:continuationSeparator/>
      </w:r>
    </w:p>
  </w:footnote>
  <w:footnote w:id="1">
    <w:p w14:paraId="7BC13D3B" w14:textId="77777777" w:rsidR="007309FD" w:rsidRDefault="007309F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3D30" w14:textId="77777777" w:rsidR="007309FD" w:rsidRDefault="00213240">
    <w:pPr>
      <w:pStyle w:val="Header"/>
      <w:jc w:val="right"/>
    </w:pPr>
    <w:r>
      <w:rPr>
        <w:noProof/>
      </w:rPr>
      <w:drawing>
        <wp:anchor distT="0" distB="0" distL="114300" distR="114300" simplePos="0" relativeHeight="251656704" behindDoc="0" locked="0" layoutInCell="1" allowOverlap="1" wp14:anchorId="7BC13D36" wp14:editId="7BC13D37">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pict w14:anchorId="7BC13D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3073" type="#_x0000_t136" style="position:absolute;left:0;text-align:left;margin-left:0;margin-top:0;width:623.85pt;height:65.65pt;rotation:315;z-index:-251657728;mso-position-horizontal:center;mso-position-horizontal-relative:margin;mso-position-vertical:center;mso-position-vertical-relative:margin;mso-width-relative:page;mso-height-relative:page" o:allowincell="f" fillcolor="silver" stroked="f">
          <v:fill opacity=".5"/>
          <v:textpath style="font-family:&quot;Arial&quot;;font-size:1pt" trim="t" fitpath="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3D33" w14:textId="77777777" w:rsidR="007309FD" w:rsidRDefault="00213240">
    <w:pPr>
      <w:pStyle w:val="Header"/>
    </w:pPr>
    <w:r>
      <w:rPr>
        <w:noProof/>
      </w:rPr>
      <w:drawing>
        <wp:anchor distT="0" distB="0" distL="114300" distR="114300" simplePos="0" relativeHeight="251657728" behindDoc="0" locked="0" layoutInCell="1" allowOverlap="1" wp14:anchorId="7BC13D39" wp14:editId="7BC13D3A">
          <wp:simplePos x="0" y="0"/>
          <wp:positionH relativeFrom="column">
            <wp:posOffset>2522855</wp:posOffset>
          </wp:positionH>
          <wp:positionV relativeFrom="paragraph">
            <wp:posOffset>-405130</wp:posOffset>
          </wp:positionV>
          <wp:extent cx="852805" cy="8312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52805" cy="8312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multilevel"/>
    <w:tmpl w:val="03A21C71"/>
    <w:lvl w:ilvl="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vanish w:val="0"/>
        <w:color w:val="4F81BD" w:themeColor="accent1"/>
        <w:spacing w:val="0"/>
        <w:w w:val="0"/>
        <w:kern w:val="0"/>
        <w:position w:val="0"/>
        <w:sz w:val="24"/>
        <w:szCs w:val="24"/>
        <w:u w:val="none" w:color="000000"/>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5AEAD4"/>
    <w:multiLevelType w:val="singleLevel"/>
    <w:tmpl w:val="095AEAD4"/>
    <w:lvl w:ilvl="0">
      <w:start w:val="1"/>
      <w:numFmt w:val="bullet"/>
      <w:lvlText w:val=""/>
      <w:lvlJc w:val="left"/>
      <w:pPr>
        <w:ind w:left="420" w:hanging="420"/>
      </w:pPr>
      <w:rPr>
        <w:rFonts w:ascii="Wingdings" w:hAnsi="Wingdings" w:hint="default"/>
      </w:rPr>
    </w:lvl>
  </w:abstractNum>
  <w:abstractNum w:abstractNumId="2"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C37E91"/>
    <w:multiLevelType w:val="multilevel"/>
    <w:tmpl w:val="19C37E91"/>
    <w:lvl w:ilvl="0">
      <w:start w:val="1"/>
      <w:numFmt w:val="decimal"/>
      <w:pStyle w:val="Heading1"/>
      <w:lvlText w:val="%1"/>
      <w:lvlJc w:val="left"/>
      <w:pPr>
        <w:tabs>
          <w:tab w:val="left" w:pos="567"/>
        </w:tabs>
        <w:ind w:left="567" w:hanging="567"/>
      </w:pPr>
      <w:rPr>
        <w:rFonts w:hint="default"/>
      </w:rPr>
    </w:lvl>
    <w:lvl w:ilvl="1">
      <w:start w:val="1"/>
      <w:numFmt w:val="decimal"/>
      <w:pStyle w:val="Heading2"/>
      <w:lvlText w:val="%1.%2"/>
      <w:lvlJc w:val="left"/>
      <w:pPr>
        <w:tabs>
          <w:tab w:val="left" w:pos="851"/>
        </w:tabs>
        <w:ind w:left="851" w:hanging="851"/>
      </w:pPr>
      <w:rPr>
        <w:rFonts w:hint="default"/>
      </w:rPr>
    </w:lvl>
    <w:lvl w:ilvl="2">
      <w:start w:val="1"/>
      <w:numFmt w:val="decimal"/>
      <w:pStyle w:val="Heading3"/>
      <w:lvlText w:val="%1.%2.%3"/>
      <w:lvlJc w:val="left"/>
      <w:pPr>
        <w:tabs>
          <w:tab w:val="left" w:pos="992"/>
        </w:tabs>
        <w:ind w:left="992" w:hanging="992"/>
      </w:pPr>
      <w:rPr>
        <w:rFonts w:hint="default"/>
      </w:rPr>
    </w:lvl>
    <w:lvl w:ilvl="3">
      <w:start w:val="1"/>
      <w:numFmt w:val="decimal"/>
      <w:pStyle w:val="Heading4"/>
      <w:lvlText w:val="%1.%2.%3.%4"/>
      <w:lvlJc w:val="left"/>
      <w:pPr>
        <w:tabs>
          <w:tab w:val="left" w:pos="1134"/>
        </w:tabs>
        <w:ind w:left="1134" w:hanging="113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1E7E01D9"/>
    <w:multiLevelType w:val="multilevel"/>
    <w:tmpl w:val="1E7E01D9"/>
    <w:lvl w:ilvl="0">
      <w:start w:val="1"/>
      <w:numFmt w:val="decimal"/>
      <w:pStyle w:val="References"/>
      <w:lvlText w:val="[%1]"/>
      <w:lvlJc w:val="left"/>
      <w:pPr>
        <w:tabs>
          <w:tab w:val="left" w:pos="567"/>
        </w:tabs>
        <w:ind w:left="567" w:hanging="567"/>
      </w:pPr>
      <w:rPr>
        <w:rFonts w:ascii="Calibri" w:hAnsi="Calibri" w:cs="Calibri"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6B4F5D"/>
    <w:multiLevelType w:val="multilevel"/>
    <w:tmpl w:val="3E6B4F5D"/>
    <w:lvl w:ilvl="0">
      <w:start w:val="1"/>
      <w:numFmt w:val="decimal"/>
      <w:pStyle w:val="equation"/>
      <w:lvlText w:val="(equation %1)"/>
      <w:lvlJc w:val="right"/>
      <w:pPr>
        <w:ind w:left="818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900" w:hanging="360"/>
      </w:pPr>
    </w:lvl>
    <w:lvl w:ilvl="2">
      <w:start w:val="1"/>
      <w:numFmt w:val="lowerRoman"/>
      <w:lvlText w:val="%3."/>
      <w:lvlJc w:val="right"/>
      <w:pPr>
        <w:ind w:left="9620" w:hanging="180"/>
      </w:pPr>
    </w:lvl>
    <w:lvl w:ilvl="3">
      <w:start w:val="1"/>
      <w:numFmt w:val="decimal"/>
      <w:lvlText w:val="%4."/>
      <w:lvlJc w:val="left"/>
      <w:pPr>
        <w:ind w:left="10340" w:hanging="360"/>
      </w:pPr>
    </w:lvl>
    <w:lvl w:ilvl="4">
      <w:start w:val="1"/>
      <w:numFmt w:val="lowerLetter"/>
      <w:lvlText w:val="%5."/>
      <w:lvlJc w:val="left"/>
      <w:pPr>
        <w:ind w:left="11060" w:hanging="360"/>
      </w:pPr>
    </w:lvl>
    <w:lvl w:ilvl="5">
      <w:start w:val="1"/>
      <w:numFmt w:val="lowerRoman"/>
      <w:lvlText w:val="%6."/>
      <w:lvlJc w:val="right"/>
      <w:pPr>
        <w:ind w:left="11780" w:hanging="180"/>
      </w:pPr>
    </w:lvl>
    <w:lvl w:ilvl="6">
      <w:start w:val="1"/>
      <w:numFmt w:val="decimal"/>
      <w:lvlText w:val="%7."/>
      <w:lvlJc w:val="left"/>
      <w:pPr>
        <w:ind w:left="12500" w:hanging="360"/>
      </w:pPr>
    </w:lvl>
    <w:lvl w:ilvl="7">
      <w:start w:val="1"/>
      <w:numFmt w:val="lowerLetter"/>
      <w:lvlText w:val="%8."/>
      <w:lvlJc w:val="left"/>
      <w:pPr>
        <w:ind w:left="13220" w:hanging="360"/>
      </w:pPr>
    </w:lvl>
    <w:lvl w:ilvl="8">
      <w:start w:val="1"/>
      <w:numFmt w:val="lowerRoman"/>
      <w:lvlText w:val="%9."/>
      <w:lvlJc w:val="right"/>
      <w:pPr>
        <w:ind w:left="13940" w:hanging="180"/>
      </w:pPr>
    </w:lvl>
  </w:abstractNum>
  <w:abstractNum w:abstractNumId="7"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Arial" w:hAnsi="Arial"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79B424D"/>
    <w:multiLevelType w:val="multilevel"/>
    <w:tmpl w:val="479B424D"/>
    <w:lvl w:ilvl="0">
      <w:start w:val="1"/>
      <w:numFmt w:val="bullet"/>
      <w:pStyle w:val="Bullet3"/>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A8C31DD"/>
    <w:multiLevelType w:val="multilevel"/>
    <w:tmpl w:val="4A8C31DD"/>
    <w:lvl w:ilvl="0">
      <w:start w:val="1"/>
      <w:numFmt w:val="bullet"/>
      <w:pStyle w:val="Bullet2"/>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1" w15:restartNumberingAfterBreak="0">
    <w:nsid w:val="4BC63137"/>
    <w:multiLevelType w:val="multilevel"/>
    <w:tmpl w:val="4BC63137"/>
    <w:lvl w:ilvl="0">
      <w:start w:val="1"/>
      <w:numFmt w:val="bullet"/>
      <w:pStyle w:val="Bullet1"/>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0585238"/>
    <w:multiLevelType w:val="multilevel"/>
    <w:tmpl w:val="60585238"/>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15"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7469232"/>
    <w:multiLevelType w:val="singleLevel"/>
    <w:tmpl w:val="77469232"/>
    <w:lvl w:ilvl="0">
      <w:start w:val="1"/>
      <w:numFmt w:val="bullet"/>
      <w:lvlText w:val=""/>
      <w:lvlJc w:val="left"/>
      <w:pPr>
        <w:ind w:left="420" w:hanging="420"/>
      </w:pPr>
      <w:rPr>
        <w:rFonts w:ascii="Wingdings" w:hAnsi="Wingdings" w:hint="default"/>
      </w:rPr>
    </w:lvl>
  </w:abstractNum>
  <w:num w:numId="1" w16cid:durableId="1718580753">
    <w:abstractNumId w:val="3"/>
  </w:num>
  <w:num w:numId="2" w16cid:durableId="1313753557">
    <w:abstractNumId w:val="13"/>
  </w:num>
  <w:num w:numId="3" w16cid:durableId="909197634">
    <w:abstractNumId w:val="9"/>
  </w:num>
  <w:num w:numId="4" w16cid:durableId="1970743667">
    <w:abstractNumId w:val="2"/>
  </w:num>
  <w:num w:numId="5" w16cid:durableId="675034723">
    <w:abstractNumId w:val="15"/>
  </w:num>
  <w:num w:numId="6" w16cid:durableId="1033726691">
    <w:abstractNumId w:val="11"/>
  </w:num>
  <w:num w:numId="7" w16cid:durableId="1271090845">
    <w:abstractNumId w:val="10"/>
  </w:num>
  <w:num w:numId="8" w16cid:durableId="623855140">
    <w:abstractNumId w:val="8"/>
  </w:num>
  <w:num w:numId="9" w16cid:durableId="1178927962">
    <w:abstractNumId w:val="14"/>
  </w:num>
  <w:num w:numId="10" w16cid:durableId="86662691">
    <w:abstractNumId w:val="7"/>
  </w:num>
  <w:num w:numId="11" w16cid:durableId="930089324">
    <w:abstractNumId w:val="12"/>
  </w:num>
  <w:num w:numId="12" w16cid:durableId="1771774747">
    <w:abstractNumId w:val="4"/>
  </w:num>
  <w:num w:numId="13" w16cid:durableId="1582719142">
    <w:abstractNumId w:val="5"/>
  </w:num>
  <w:num w:numId="14" w16cid:durableId="1141775108">
    <w:abstractNumId w:val="6"/>
  </w:num>
  <w:num w:numId="15" w16cid:durableId="1066562563">
    <w:abstractNumId w:val="0"/>
  </w:num>
  <w:num w:numId="16" w16cid:durableId="1875802379">
    <w:abstractNumId w:val="16"/>
  </w:num>
  <w:num w:numId="17" w16cid:durableId="524827287">
    <w:abstractNumId w:val="1"/>
  </w:num>
  <w:num w:numId="18" w16cid:durableId="1968198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proofState w:spelling="clean" w:grammar="clean"/>
  <w:defaultTabStop w:val="720"/>
  <w:hyphenationZone w:val="425"/>
  <w:drawingGridHorizontalSpacing w:val="120"/>
  <w:noPunctuationKerning/>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jYjhmNzhjMmZkOTZlZTViZDg5MTRjZWQyYTZjNDIifQ=="/>
  </w:docVars>
  <w:rsids>
    <w:rsidRoot w:val="00FE5674"/>
    <w:rsid w:val="000005D3"/>
    <w:rsid w:val="000049D8"/>
    <w:rsid w:val="00026AAB"/>
    <w:rsid w:val="00036A03"/>
    <w:rsid w:val="00036B9E"/>
    <w:rsid w:val="00037DF4"/>
    <w:rsid w:val="0004700E"/>
    <w:rsid w:val="00070C13"/>
    <w:rsid w:val="000715C9"/>
    <w:rsid w:val="00084F33"/>
    <w:rsid w:val="000A77A7"/>
    <w:rsid w:val="000B1707"/>
    <w:rsid w:val="000C1B3E"/>
    <w:rsid w:val="000C349E"/>
    <w:rsid w:val="00110AE7"/>
    <w:rsid w:val="00177F4D"/>
    <w:rsid w:val="00180DDA"/>
    <w:rsid w:val="001B2A2D"/>
    <w:rsid w:val="001B737D"/>
    <w:rsid w:val="001C44A3"/>
    <w:rsid w:val="001E0E15"/>
    <w:rsid w:val="001F528A"/>
    <w:rsid w:val="001F704E"/>
    <w:rsid w:val="00201722"/>
    <w:rsid w:val="002125B0"/>
    <w:rsid w:val="00213240"/>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56CD0"/>
    <w:rsid w:val="00362CD9"/>
    <w:rsid w:val="003761CA"/>
    <w:rsid w:val="00380DAF"/>
    <w:rsid w:val="003972CE"/>
    <w:rsid w:val="003B28F5"/>
    <w:rsid w:val="003B7B7D"/>
    <w:rsid w:val="003C54CB"/>
    <w:rsid w:val="003C7A2A"/>
    <w:rsid w:val="003D2DC1"/>
    <w:rsid w:val="003D69D0"/>
    <w:rsid w:val="003F2918"/>
    <w:rsid w:val="003F430E"/>
    <w:rsid w:val="0041088C"/>
    <w:rsid w:val="00412DD0"/>
    <w:rsid w:val="00420A38"/>
    <w:rsid w:val="00431B19"/>
    <w:rsid w:val="004661AD"/>
    <w:rsid w:val="004A6C1D"/>
    <w:rsid w:val="004D1D85"/>
    <w:rsid w:val="004D3C3A"/>
    <w:rsid w:val="004E1CD1"/>
    <w:rsid w:val="004F7EFC"/>
    <w:rsid w:val="005107EB"/>
    <w:rsid w:val="00511277"/>
    <w:rsid w:val="00521345"/>
    <w:rsid w:val="00526DF0"/>
    <w:rsid w:val="00545CC4"/>
    <w:rsid w:val="00551FFF"/>
    <w:rsid w:val="005607A2"/>
    <w:rsid w:val="0057198B"/>
    <w:rsid w:val="00573CFE"/>
    <w:rsid w:val="0057460F"/>
    <w:rsid w:val="005969F2"/>
    <w:rsid w:val="00597FAE"/>
    <w:rsid w:val="005B32A3"/>
    <w:rsid w:val="005C0D44"/>
    <w:rsid w:val="005C566C"/>
    <w:rsid w:val="005C7E69"/>
    <w:rsid w:val="005E262D"/>
    <w:rsid w:val="005F23D3"/>
    <w:rsid w:val="005F7E20"/>
    <w:rsid w:val="00605E43"/>
    <w:rsid w:val="006153BB"/>
    <w:rsid w:val="0062705B"/>
    <w:rsid w:val="006652C3"/>
    <w:rsid w:val="00691FD0"/>
    <w:rsid w:val="00692148"/>
    <w:rsid w:val="006A1A1E"/>
    <w:rsid w:val="006C5948"/>
    <w:rsid w:val="006D3734"/>
    <w:rsid w:val="006F2A74"/>
    <w:rsid w:val="007000D4"/>
    <w:rsid w:val="007118F5"/>
    <w:rsid w:val="00712AA4"/>
    <w:rsid w:val="007146C4"/>
    <w:rsid w:val="00721AA1"/>
    <w:rsid w:val="00724B67"/>
    <w:rsid w:val="007309FD"/>
    <w:rsid w:val="007547F8"/>
    <w:rsid w:val="00765622"/>
    <w:rsid w:val="00770B6C"/>
    <w:rsid w:val="00783FEA"/>
    <w:rsid w:val="007A395D"/>
    <w:rsid w:val="007B6BD5"/>
    <w:rsid w:val="007C346C"/>
    <w:rsid w:val="007E6479"/>
    <w:rsid w:val="0080294B"/>
    <w:rsid w:val="0082480E"/>
    <w:rsid w:val="00847DE1"/>
    <w:rsid w:val="00850293"/>
    <w:rsid w:val="00851373"/>
    <w:rsid w:val="00851BA6"/>
    <w:rsid w:val="0085654D"/>
    <w:rsid w:val="00861160"/>
    <w:rsid w:val="0086654F"/>
    <w:rsid w:val="008A356F"/>
    <w:rsid w:val="008A4653"/>
    <w:rsid w:val="008A4717"/>
    <w:rsid w:val="008A50CC"/>
    <w:rsid w:val="008B3040"/>
    <w:rsid w:val="008C574F"/>
    <w:rsid w:val="008D1694"/>
    <w:rsid w:val="008D6C1F"/>
    <w:rsid w:val="008D79CB"/>
    <w:rsid w:val="008F07BC"/>
    <w:rsid w:val="0091760D"/>
    <w:rsid w:val="0092692B"/>
    <w:rsid w:val="00930062"/>
    <w:rsid w:val="00930561"/>
    <w:rsid w:val="00943E9C"/>
    <w:rsid w:val="00953F4D"/>
    <w:rsid w:val="00960BB8"/>
    <w:rsid w:val="00964F5C"/>
    <w:rsid w:val="00973B57"/>
    <w:rsid w:val="00975900"/>
    <w:rsid w:val="009831C0"/>
    <w:rsid w:val="0099161D"/>
    <w:rsid w:val="009D1A67"/>
    <w:rsid w:val="00A0389B"/>
    <w:rsid w:val="00A33A3C"/>
    <w:rsid w:val="00A446C9"/>
    <w:rsid w:val="00A635D6"/>
    <w:rsid w:val="00A8553A"/>
    <w:rsid w:val="00A93AED"/>
    <w:rsid w:val="00AE1319"/>
    <w:rsid w:val="00AE34BB"/>
    <w:rsid w:val="00B00A18"/>
    <w:rsid w:val="00B226F2"/>
    <w:rsid w:val="00B274DF"/>
    <w:rsid w:val="00B56BDF"/>
    <w:rsid w:val="00B65812"/>
    <w:rsid w:val="00B766DC"/>
    <w:rsid w:val="00B85CD6"/>
    <w:rsid w:val="00B90A27"/>
    <w:rsid w:val="00B9554D"/>
    <w:rsid w:val="00BB2B9F"/>
    <w:rsid w:val="00BB7D9E"/>
    <w:rsid w:val="00BC2334"/>
    <w:rsid w:val="00BD3CB8"/>
    <w:rsid w:val="00BD4E6F"/>
    <w:rsid w:val="00BF32F0"/>
    <w:rsid w:val="00BF4DCE"/>
    <w:rsid w:val="00C05CE5"/>
    <w:rsid w:val="00C6171E"/>
    <w:rsid w:val="00C65FE9"/>
    <w:rsid w:val="00CA6F2C"/>
    <w:rsid w:val="00CD6A13"/>
    <w:rsid w:val="00CF1871"/>
    <w:rsid w:val="00D01874"/>
    <w:rsid w:val="00D019CE"/>
    <w:rsid w:val="00D1133E"/>
    <w:rsid w:val="00D17A34"/>
    <w:rsid w:val="00D26628"/>
    <w:rsid w:val="00D332B3"/>
    <w:rsid w:val="00D55207"/>
    <w:rsid w:val="00D81801"/>
    <w:rsid w:val="00D92B45"/>
    <w:rsid w:val="00D95962"/>
    <w:rsid w:val="00DC389B"/>
    <w:rsid w:val="00DD7124"/>
    <w:rsid w:val="00DE2FEE"/>
    <w:rsid w:val="00DF1467"/>
    <w:rsid w:val="00E00BE9"/>
    <w:rsid w:val="00E22A11"/>
    <w:rsid w:val="00E31E5C"/>
    <w:rsid w:val="00E44DD2"/>
    <w:rsid w:val="00E558C3"/>
    <w:rsid w:val="00E55927"/>
    <w:rsid w:val="00E60540"/>
    <w:rsid w:val="00E77122"/>
    <w:rsid w:val="00E912A6"/>
    <w:rsid w:val="00EA4844"/>
    <w:rsid w:val="00EA4D9C"/>
    <w:rsid w:val="00EA5A97"/>
    <w:rsid w:val="00EB2248"/>
    <w:rsid w:val="00EB75EE"/>
    <w:rsid w:val="00EE14BA"/>
    <w:rsid w:val="00EE3CC5"/>
    <w:rsid w:val="00EE4C1D"/>
    <w:rsid w:val="00EF3685"/>
    <w:rsid w:val="00F04350"/>
    <w:rsid w:val="00F133DB"/>
    <w:rsid w:val="00F159EB"/>
    <w:rsid w:val="00F25BF4"/>
    <w:rsid w:val="00F267DB"/>
    <w:rsid w:val="00F46F6F"/>
    <w:rsid w:val="00F57E40"/>
    <w:rsid w:val="00F60608"/>
    <w:rsid w:val="00F62217"/>
    <w:rsid w:val="00FB17A9"/>
    <w:rsid w:val="00FB527C"/>
    <w:rsid w:val="00FB6F75"/>
    <w:rsid w:val="00FB7D03"/>
    <w:rsid w:val="00FC0EB3"/>
    <w:rsid w:val="00FD675E"/>
    <w:rsid w:val="00FE5674"/>
    <w:rsid w:val="01814321"/>
    <w:rsid w:val="019B653F"/>
    <w:rsid w:val="02214016"/>
    <w:rsid w:val="02586219"/>
    <w:rsid w:val="027A0265"/>
    <w:rsid w:val="029702A0"/>
    <w:rsid w:val="02A66735"/>
    <w:rsid w:val="02D37B7D"/>
    <w:rsid w:val="032462D9"/>
    <w:rsid w:val="03CF3A69"/>
    <w:rsid w:val="03DE0A4D"/>
    <w:rsid w:val="04B7362A"/>
    <w:rsid w:val="04DC448E"/>
    <w:rsid w:val="0539563E"/>
    <w:rsid w:val="0583630D"/>
    <w:rsid w:val="05DA069E"/>
    <w:rsid w:val="061F71FB"/>
    <w:rsid w:val="06AC55BD"/>
    <w:rsid w:val="07990616"/>
    <w:rsid w:val="079A780C"/>
    <w:rsid w:val="0A6273E5"/>
    <w:rsid w:val="0B3D750A"/>
    <w:rsid w:val="0C0B2D06"/>
    <w:rsid w:val="0C1B2BBA"/>
    <w:rsid w:val="0C1B3C9A"/>
    <w:rsid w:val="0C3C7902"/>
    <w:rsid w:val="0CCA5EE3"/>
    <w:rsid w:val="0D054CE6"/>
    <w:rsid w:val="0D3017E5"/>
    <w:rsid w:val="0D3559BA"/>
    <w:rsid w:val="0D6958AE"/>
    <w:rsid w:val="0D913B3D"/>
    <w:rsid w:val="0DD9618F"/>
    <w:rsid w:val="0F9C68BD"/>
    <w:rsid w:val="0FA66824"/>
    <w:rsid w:val="10614669"/>
    <w:rsid w:val="10F0726D"/>
    <w:rsid w:val="10F60887"/>
    <w:rsid w:val="11290C5D"/>
    <w:rsid w:val="11936E1B"/>
    <w:rsid w:val="11E34032"/>
    <w:rsid w:val="121204E4"/>
    <w:rsid w:val="134A6C86"/>
    <w:rsid w:val="14783164"/>
    <w:rsid w:val="14B138F2"/>
    <w:rsid w:val="14BE16BC"/>
    <w:rsid w:val="15056E51"/>
    <w:rsid w:val="150E1D95"/>
    <w:rsid w:val="16EF0B57"/>
    <w:rsid w:val="16F45869"/>
    <w:rsid w:val="17723FB5"/>
    <w:rsid w:val="19D0480D"/>
    <w:rsid w:val="1A2A3350"/>
    <w:rsid w:val="1A436C85"/>
    <w:rsid w:val="1A725422"/>
    <w:rsid w:val="1A766C67"/>
    <w:rsid w:val="1B093FA9"/>
    <w:rsid w:val="1B1878EB"/>
    <w:rsid w:val="1B530684"/>
    <w:rsid w:val="1B981EB2"/>
    <w:rsid w:val="1BFF05DA"/>
    <w:rsid w:val="1C320D2B"/>
    <w:rsid w:val="1C936E55"/>
    <w:rsid w:val="1CD31A7D"/>
    <w:rsid w:val="1DAB3E03"/>
    <w:rsid w:val="1E585373"/>
    <w:rsid w:val="1ED805F3"/>
    <w:rsid w:val="1EED685A"/>
    <w:rsid w:val="1F3C194F"/>
    <w:rsid w:val="1FB13239"/>
    <w:rsid w:val="201C1AEE"/>
    <w:rsid w:val="20517888"/>
    <w:rsid w:val="21352D06"/>
    <w:rsid w:val="21B6562D"/>
    <w:rsid w:val="21C51B3F"/>
    <w:rsid w:val="21D57C13"/>
    <w:rsid w:val="22590C76"/>
    <w:rsid w:val="22825326"/>
    <w:rsid w:val="236077A1"/>
    <w:rsid w:val="24150BCD"/>
    <w:rsid w:val="25870DA4"/>
    <w:rsid w:val="25A641D2"/>
    <w:rsid w:val="25BD776E"/>
    <w:rsid w:val="26B01005"/>
    <w:rsid w:val="273E668C"/>
    <w:rsid w:val="27C70430"/>
    <w:rsid w:val="28A166AD"/>
    <w:rsid w:val="29A0718A"/>
    <w:rsid w:val="2ACB4C96"/>
    <w:rsid w:val="2AF534CF"/>
    <w:rsid w:val="2AFC6642"/>
    <w:rsid w:val="2BD57B31"/>
    <w:rsid w:val="2BFF3FC6"/>
    <w:rsid w:val="2C0954BB"/>
    <w:rsid w:val="2C92725E"/>
    <w:rsid w:val="2CAD18E5"/>
    <w:rsid w:val="2D0102AB"/>
    <w:rsid w:val="2D0D4483"/>
    <w:rsid w:val="2D192A5C"/>
    <w:rsid w:val="2D2D611B"/>
    <w:rsid w:val="2DAA682A"/>
    <w:rsid w:val="2DAE3AA1"/>
    <w:rsid w:val="2E422F06"/>
    <w:rsid w:val="2E826A4C"/>
    <w:rsid w:val="2EA52828"/>
    <w:rsid w:val="2ED81803"/>
    <w:rsid w:val="2F872BB4"/>
    <w:rsid w:val="30590093"/>
    <w:rsid w:val="30A22F5D"/>
    <w:rsid w:val="30DC319E"/>
    <w:rsid w:val="315313BF"/>
    <w:rsid w:val="3156773A"/>
    <w:rsid w:val="31857392"/>
    <w:rsid w:val="33370392"/>
    <w:rsid w:val="33B66B8B"/>
    <w:rsid w:val="34414BB8"/>
    <w:rsid w:val="35980DEC"/>
    <w:rsid w:val="35F4502C"/>
    <w:rsid w:val="362F1FC2"/>
    <w:rsid w:val="37341743"/>
    <w:rsid w:val="37465296"/>
    <w:rsid w:val="37DF5012"/>
    <w:rsid w:val="381C468A"/>
    <w:rsid w:val="38714BC6"/>
    <w:rsid w:val="388327A2"/>
    <w:rsid w:val="389B33C4"/>
    <w:rsid w:val="39431293"/>
    <w:rsid w:val="3A260E81"/>
    <w:rsid w:val="3B556027"/>
    <w:rsid w:val="3C3F0D8A"/>
    <w:rsid w:val="3C3F2833"/>
    <w:rsid w:val="3CCB6505"/>
    <w:rsid w:val="3CFE7129"/>
    <w:rsid w:val="3D356C3F"/>
    <w:rsid w:val="3DFD2E4D"/>
    <w:rsid w:val="3DFF7514"/>
    <w:rsid w:val="3E525981"/>
    <w:rsid w:val="3EC01269"/>
    <w:rsid w:val="3ECE6536"/>
    <w:rsid w:val="3EE36E5D"/>
    <w:rsid w:val="405A0635"/>
    <w:rsid w:val="412A0325"/>
    <w:rsid w:val="424010B3"/>
    <w:rsid w:val="42506123"/>
    <w:rsid w:val="42BC698B"/>
    <w:rsid w:val="44651680"/>
    <w:rsid w:val="448309F6"/>
    <w:rsid w:val="44A121A7"/>
    <w:rsid w:val="44F8045C"/>
    <w:rsid w:val="45264CEF"/>
    <w:rsid w:val="45DE30BD"/>
    <w:rsid w:val="45E60926"/>
    <w:rsid w:val="46275846"/>
    <w:rsid w:val="463A47F5"/>
    <w:rsid w:val="48B65B6A"/>
    <w:rsid w:val="4966232F"/>
    <w:rsid w:val="496F379E"/>
    <w:rsid w:val="49E701C4"/>
    <w:rsid w:val="49F63B85"/>
    <w:rsid w:val="4A6B68C0"/>
    <w:rsid w:val="4B1C3870"/>
    <w:rsid w:val="4D064E35"/>
    <w:rsid w:val="4D1E52E4"/>
    <w:rsid w:val="4D5123C6"/>
    <w:rsid w:val="4D5819A6"/>
    <w:rsid w:val="4D624DEC"/>
    <w:rsid w:val="4E0F08C2"/>
    <w:rsid w:val="4E2A1318"/>
    <w:rsid w:val="4E794301"/>
    <w:rsid w:val="4EE34328"/>
    <w:rsid w:val="4FD5059F"/>
    <w:rsid w:val="51343E60"/>
    <w:rsid w:val="51B92344"/>
    <w:rsid w:val="51D4564F"/>
    <w:rsid w:val="51D45FDF"/>
    <w:rsid w:val="528374C6"/>
    <w:rsid w:val="5307650F"/>
    <w:rsid w:val="53A839BA"/>
    <w:rsid w:val="547A372D"/>
    <w:rsid w:val="54CE50D0"/>
    <w:rsid w:val="55144451"/>
    <w:rsid w:val="55FC78ED"/>
    <w:rsid w:val="572A02AF"/>
    <w:rsid w:val="5755792B"/>
    <w:rsid w:val="57F81DBC"/>
    <w:rsid w:val="584E149C"/>
    <w:rsid w:val="585039A6"/>
    <w:rsid w:val="58C62120"/>
    <w:rsid w:val="58E17DF3"/>
    <w:rsid w:val="59975605"/>
    <w:rsid w:val="59C12681"/>
    <w:rsid w:val="59C752BD"/>
    <w:rsid w:val="59D3102A"/>
    <w:rsid w:val="59E32B68"/>
    <w:rsid w:val="5AAA49C8"/>
    <w:rsid w:val="5B006222"/>
    <w:rsid w:val="5CBE60E0"/>
    <w:rsid w:val="5D0B2591"/>
    <w:rsid w:val="5D3E64BC"/>
    <w:rsid w:val="5DCC2C54"/>
    <w:rsid w:val="5DF604C5"/>
    <w:rsid w:val="5F465B03"/>
    <w:rsid w:val="5FD36F8B"/>
    <w:rsid w:val="60213C60"/>
    <w:rsid w:val="64AC465A"/>
    <w:rsid w:val="64CB23FE"/>
    <w:rsid w:val="656276BC"/>
    <w:rsid w:val="65F95FCF"/>
    <w:rsid w:val="671B5AC7"/>
    <w:rsid w:val="67952872"/>
    <w:rsid w:val="68003F7B"/>
    <w:rsid w:val="68467DE7"/>
    <w:rsid w:val="686D5F03"/>
    <w:rsid w:val="6949197A"/>
    <w:rsid w:val="69816724"/>
    <w:rsid w:val="699C4A16"/>
    <w:rsid w:val="6A5B75D1"/>
    <w:rsid w:val="6A8D44BA"/>
    <w:rsid w:val="6B916358"/>
    <w:rsid w:val="6DF350A8"/>
    <w:rsid w:val="6EFA06B8"/>
    <w:rsid w:val="6FCA744F"/>
    <w:rsid w:val="703B7F6C"/>
    <w:rsid w:val="71147D94"/>
    <w:rsid w:val="720343FF"/>
    <w:rsid w:val="72050C3F"/>
    <w:rsid w:val="72161365"/>
    <w:rsid w:val="72775D06"/>
    <w:rsid w:val="72AB5CBB"/>
    <w:rsid w:val="730E7AE5"/>
    <w:rsid w:val="73645F38"/>
    <w:rsid w:val="736E04FB"/>
    <w:rsid w:val="749649DF"/>
    <w:rsid w:val="74E77E01"/>
    <w:rsid w:val="75085BDC"/>
    <w:rsid w:val="751516A4"/>
    <w:rsid w:val="7658178F"/>
    <w:rsid w:val="774424D0"/>
    <w:rsid w:val="789C7626"/>
    <w:rsid w:val="799840D7"/>
    <w:rsid w:val="7AB91427"/>
    <w:rsid w:val="7ABC24D7"/>
    <w:rsid w:val="7B057DF4"/>
    <w:rsid w:val="7B455D7F"/>
    <w:rsid w:val="7C4A3FF3"/>
    <w:rsid w:val="7C5F1B5A"/>
    <w:rsid w:val="7CB579CC"/>
    <w:rsid w:val="7D567401"/>
    <w:rsid w:val="7DB01F1F"/>
    <w:rsid w:val="7E1F1AE3"/>
    <w:rsid w:val="7EFE1661"/>
    <w:rsid w:val="7EFE2D71"/>
    <w:rsid w:val="7FAB6BBF"/>
    <w:rsid w:val="7FFC4290"/>
    <w:rsid w:val="8FF3EB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14:docId w14:val="7BC13CE9"/>
  <w15:docId w15:val="{646213C5-D714-4577-82E7-14E46A72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Calibri" w:hAnsi="Arial" w:cs="Calibri"/>
      <w:sz w:val="22"/>
      <w:szCs w:val="22"/>
      <w:lang w:val="en-GB" w:eastAsia="en-GB"/>
    </w:rPr>
  </w:style>
  <w:style w:type="paragraph" w:styleId="Heading1">
    <w:name w:val="heading 1"/>
    <w:basedOn w:val="Normal"/>
    <w:next w:val="Normal"/>
    <w:link w:val="Heading1Char"/>
    <w:qFormat/>
    <w:pPr>
      <w:keepNext/>
      <w:numPr>
        <w:numId w:val="1"/>
      </w:numPr>
      <w:spacing w:before="240" w:after="240"/>
      <w:outlineLvl w:val="0"/>
    </w:pPr>
    <w:rPr>
      <w:rFonts w:ascii="Calibri" w:hAnsi="Calibri"/>
      <w:b/>
      <w:caps/>
      <w:color w:val="0070C0"/>
      <w:kern w:val="28"/>
      <w:sz w:val="24"/>
      <w:lang w:eastAsia="de-DE"/>
    </w:rPr>
  </w:style>
  <w:style w:type="paragraph" w:styleId="Heading2">
    <w:name w:val="heading 2"/>
    <w:basedOn w:val="Heading1"/>
    <w:next w:val="Normal"/>
    <w:link w:val="Heading2Char"/>
    <w:qFormat/>
    <w:pPr>
      <w:numPr>
        <w:ilvl w:val="1"/>
      </w:numPr>
      <w:tabs>
        <w:tab w:val="clear" w:pos="567"/>
      </w:tabs>
      <w:spacing w:before="120" w:after="120"/>
      <w:outlineLvl w:val="1"/>
    </w:pPr>
    <w:rPr>
      <w:szCs w:val="24"/>
    </w:rPr>
  </w:style>
  <w:style w:type="paragraph" w:styleId="Heading3">
    <w:name w:val="heading 3"/>
    <w:basedOn w:val="Normal"/>
    <w:next w:val="BodyText"/>
    <w:link w:val="Heading3Char"/>
    <w:qFormat/>
    <w:pPr>
      <w:keepNext/>
      <w:numPr>
        <w:ilvl w:val="2"/>
        <w:numId w:val="1"/>
      </w:numPr>
      <w:spacing w:before="120" w:after="120"/>
      <w:outlineLvl w:val="2"/>
    </w:pPr>
    <w:rPr>
      <w:szCs w:val="20"/>
      <w:lang w:eastAsia="de-DE"/>
    </w:rPr>
  </w:style>
  <w:style w:type="paragraph" w:styleId="Heading4">
    <w:name w:val="heading 4"/>
    <w:basedOn w:val="Normal"/>
    <w:next w:val="BodyTextIndent"/>
    <w:link w:val="Heading4Char"/>
    <w:qFormat/>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style>
  <w:style w:type="paragraph" w:styleId="BodyTextIndent">
    <w:name w:val="Body Text Indent"/>
    <w:basedOn w:val="Normal"/>
    <w:link w:val="BodyTextIndentChar"/>
    <w:qFormat/>
    <w:pPr>
      <w:spacing w:after="120"/>
      <w:ind w:left="567"/>
    </w:pPr>
  </w:style>
  <w:style w:type="paragraph" w:styleId="BodyTextIndent2">
    <w:name w:val="Body Text Indent 2"/>
    <w:basedOn w:val="Normal"/>
    <w:link w:val="BodyTextIndent2Char"/>
    <w:qFormat/>
    <w:pPr>
      <w:spacing w:after="120"/>
      <w:ind w:left="1134"/>
      <w:jc w:val="both"/>
    </w:pPr>
    <w:rPr>
      <w:lang w:eastAsia="de-DE"/>
    </w:rPr>
  </w:style>
  <w:style w:type="paragraph" w:styleId="TOC7">
    <w:name w:val="toc 7"/>
    <w:basedOn w:val="Normal"/>
    <w:next w:val="Normal"/>
    <w:semiHidden/>
    <w:qFormat/>
    <w:pPr>
      <w:ind w:left="1200"/>
    </w:pPr>
    <w:rPr>
      <w:sz w:val="20"/>
      <w:szCs w:val="20"/>
    </w:rPr>
  </w:style>
  <w:style w:type="paragraph" w:styleId="CommentText">
    <w:name w:val="annotation text"/>
    <w:basedOn w:val="Normal"/>
    <w:link w:val="CommentTextChar"/>
    <w:uiPriority w:val="99"/>
    <w:semiHidden/>
    <w:unhideWhenUsed/>
    <w:qFormat/>
    <w:rPr>
      <w:sz w:val="20"/>
      <w:szCs w:val="20"/>
    </w:rPr>
  </w:style>
  <w:style w:type="paragraph" w:styleId="TOC5">
    <w:name w:val="toc 5"/>
    <w:basedOn w:val="Normal"/>
    <w:next w:val="Normal"/>
    <w:semiHidden/>
    <w:qFormat/>
    <w:pPr>
      <w:ind w:left="880"/>
    </w:pPr>
    <w:rPr>
      <w:rFonts w:ascii="Times New Roman" w:eastAsia="Times New Roman" w:hAnsi="Times New Roman" w:cs="Times New Roman"/>
      <w:szCs w:val="24"/>
      <w:lang w:eastAsia="en-US"/>
    </w:rPr>
  </w:style>
  <w:style w:type="paragraph" w:styleId="TOC3">
    <w:name w:val="toc 3"/>
    <w:basedOn w:val="Normal"/>
    <w:next w:val="Normal"/>
    <w:uiPriority w:val="39"/>
    <w:qFormat/>
    <w:pPr>
      <w:tabs>
        <w:tab w:val="left" w:pos="2268"/>
        <w:tab w:val="right" w:pos="9639"/>
      </w:tabs>
      <w:ind w:left="2268" w:right="284" w:hanging="850"/>
    </w:pPr>
    <w:rPr>
      <w:rFonts w:ascii="Calibri" w:eastAsia="Times New Roman" w:hAnsi="Calibri" w:cs="Times New Roman"/>
    </w:rPr>
  </w:style>
  <w:style w:type="paragraph" w:styleId="TOC8">
    <w:name w:val="toc 8"/>
    <w:basedOn w:val="Normal"/>
    <w:next w:val="Normal"/>
    <w:semiHidden/>
    <w:qFormat/>
    <w:pPr>
      <w:ind w:left="1440"/>
    </w:pPr>
    <w:rPr>
      <w:sz w:val="20"/>
      <w:szCs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qFormat/>
    <w:pPr>
      <w:tabs>
        <w:tab w:val="center" w:pos="4820"/>
        <w:tab w:val="right" w:pos="9639"/>
      </w:tabs>
    </w:pPr>
  </w:style>
  <w:style w:type="paragraph" w:styleId="Header">
    <w:name w:val="header"/>
    <w:basedOn w:val="Normal"/>
    <w:link w:val="HeaderChar"/>
    <w:qFormat/>
    <w:pPr>
      <w:tabs>
        <w:tab w:val="center" w:pos="4820"/>
        <w:tab w:val="right" w:pos="9639"/>
      </w:tabs>
    </w:pPr>
  </w:style>
  <w:style w:type="paragraph" w:styleId="TOC1">
    <w:name w:val="toc 1"/>
    <w:basedOn w:val="Normal"/>
    <w:next w:val="Normal"/>
    <w:uiPriority w:val="39"/>
    <w:qFormat/>
    <w:pPr>
      <w:tabs>
        <w:tab w:val="left" w:pos="567"/>
        <w:tab w:val="right" w:pos="9639"/>
      </w:tabs>
      <w:spacing w:before="120"/>
      <w:ind w:right="284"/>
    </w:pPr>
    <w:rPr>
      <w:rFonts w:eastAsia="Times New Roman" w:cs="Arial"/>
      <w:bCs/>
      <w:iCs/>
      <w:caps/>
      <w:lang w:eastAsia="en-US"/>
    </w:rPr>
  </w:style>
  <w:style w:type="paragraph" w:styleId="TOC4">
    <w:name w:val="toc 4"/>
    <w:basedOn w:val="Normal"/>
    <w:next w:val="Normal"/>
    <w:uiPriority w:val="39"/>
    <w:qFormat/>
    <w:pPr>
      <w:tabs>
        <w:tab w:val="left" w:pos="1418"/>
        <w:tab w:val="right" w:pos="9639"/>
      </w:tabs>
      <w:spacing w:before="120" w:after="120"/>
      <w:ind w:left="1418" w:right="284" w:hanging="1418"/>
    </w:pPr>
    <w:rPr>
      <w:rFonts w:eastAsia="Times New Roman" w:cs="Times New Roman"/>
      <w:b/>
      <w:caps/>
      <w:szCs w:val="24"/>
      <w:lang w:eastAsia="en-US"/>
    </w:rPr>
  </w:style>
  <w:style w:type="paragraph" w:styleId="Subtitle">
    <w:name w:val="Subtitle"/>
    <w:basedOn w:val="Normal"/>
    <w:link w:val="SubtitleChar"/>
    <w:qFormat/>
    <w:pPr>
      <w:spacing w:after="60"/>
      <w:jc w:val="center"/>
      <w:outlineLvl w:val="1"/>
    </w:pPr>
    <w:rPr>
      <w:rFonts w:cs="Arial"/>
    </w:rPr>
  </w:style>
  <w:style w:type="paragraph" w:styleId="FootnoteText">
    <w:name w:val="footnote text"/>
    <w:basedOn w:val="Normal"/>
    <w:link w:val="FootnoteTextChar"/>
    <w:semiHidden/>
    <w:qFormat/>
    <w:rPr>
      <w:sz w:val="18"/>
      <w:szCs w:val="20"/>
      <w:vertAlign w:val="superscript"/>
    </w:rPr>
  </w:style>
  <w:style w:type="paragraph" w:styleId="TOC6">
    <w:name w:val="toc 6"/>
    <w:basedOn w:val="Normal"/>
    <w:next w:val="Normal"/>
    <w:semiHidden/>
    <w:qFormat/>
    <w:pPr>
      <w:ind w:left="1100"/>
    </w:pPr>
    <w:rPr>
      <w:rFonts w:ascii="Times New Roman" w:eastAsia="Times New Roman" w:hAnsi="Times New Roman" w:cs="Times New Roman"/>
      <w:szCs w:val="24"/>
      <w:lang w:eastAsia="en-US"/>
    </w:rPr>
  </w:style>
  <w:style w:type="paragraph" w:styleId="TableofFigures">
    <w:name w:val="table of figures"/>
    <w:basedOn w:val="Normal"/>
    <w:next w:val="Normal"/>
    <w:uiPriority w:val="99"/>
    <w:qFormat/>
    <w:pPr>
      <w:tabs>
        <w:tab w:val="left" w:pos="1418"/>
        <w:tab w:val="right" w:pos="9639"/>
      </w:tabs>
      <w:spacing w:before="60" w:after="60"/>
      <w:ind w:left="1418" w:right="282" w:hanging="1418"/>
    </w:pPr>
    <w:rPr>
      <w:rFonts w:eastAsia="Times New Roman" w:cs="Times New Roman"/>
      <w:szCs w:val="24"/>
      <w:lang w:eastAsia="en-US"/>
    </w:rPr>
  </w:style>
  <w:style w:type="paragraph" w:styleId="TOC2">
    <w:name w:val="toc 2"/>
    <w:basedOn w:val="Normal"/>
    <w:next w:val="Normal"/>
    <w:uiPriority w:val="39"/>
    <w:qFormat/>
    <w:pPr>
      <w:tabs>
        <w:tab w:val="left" w:pos="1418"/>
        <w:tab w:val="right" w:pos="9639"/>
      </w:tabs>
      <w:spacing w:before="120"/>
      <w:ind w:left="1418" w:right="284" w:hanging="851"/>
    </w:pPr>
    <w:rPr>
      <w:rFonts w:eastAsia="Times New Roman" w:cs="Times New Roman"/>
      <w:bCs/>
      <w:szCs w:val="26"/>
      <w:lang w:eastAsia="en-US"/>
    </w:rPr>
  </w:style>
  <w:style w:type="paragraph" w:styleId="TOC9">
    <w:name w:val="toc 9"/>
    <w:basedOn w:val="Normal"/>
    <w:next w:val="Normal"/>
    <w:semiHidden/>
    <w:qFormat/>
    <w:pPr>
      <w:ind w:left="1680"/>
    </w:pPr>
    <w:rPr>
      <w:sz w:val="20"/>
      <w:szCs w:val="20"/>
    </w:rPr>
  </w:style>
  <w:style w:type="paragraph" w:styleId="Title">
    <w:name w:val="Title"/>
    <w:basedOn w:val="Normal"/>
    <w:link w:val="TitleChar"/>
    <w:qFormat/>
    <w:pPr>
      <w:spacing w:before="120" w:after="240"/>
      <w:jc w:val="center"/>
      <w:outlineLvl w:val="0"/>
    </w:pPr>
    <w:rPr>
      <w:rFonts w:cs="Arial"/>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qFormat/>
    <w:rPr>
      <w:b/>
      <w:bCs/>
    </w:rPr>
  </w:style>
  <w:style w:type="character" w:styleId="PageNumber">
    <w:name w:val="page number"/>
    <w:basedOn w:val="DefaultParagraphFont"/>
    <w:qFormat/>
  </w:style>
  <w:style w:type="character" w:styleId="Hyperlink">
    <w:name w:val="Hyperlink"/>
    <w:uiPriority w:val="99"/>
    <w:qFormat/>
    <w:rPr>
      <w:vertAlign w:val="baselin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semiHidden/>
    <w:qFormat/>
    <w:rPr>
      <w:rFonts w:ascii="Arial" w:hAnsi="Arial"/>
      <w:sz w:val="16"/>
    </w:rPr>
  </w:style>
  <w:style w:type="character" w:customStyle="1" w:styleId="Heading1Char">
    <w:name w:val="Heading 1 Char"/>
    <w:link w:val="Heading1"/>
    <w:qFormat/>
    <w:rPr>
      <w:rFonts w:cs="Calibri"/>
      <w:b/>
      <w:caps/>
      <w:color w:val="0070C0"/>
      <w:kern w:val="28"/>
      <w:sz w:val="24"/>
      <w:szCs w:val="22"/>
      <w:lang w:eastAsia="de-DE"/>
    </w:rPr>
  </w:style>
  <w:style w:type="character" w:customStyle="1" w:styleId="Heading2Char">
    <w:name w:val="Heading 2 Char"/>
    <w:link w:val="Heading2"/>
    <w:qFormat/>
    <w:rPr>
      <w:rFonts w:cs="Calibri"/>
      <w:b/>
      <w:color w:val="0070C0"/>
      <w:sz w:val="24"/>
      <w:szCs w:val="24"/>
    </w:rPr>
  </w:style>
  <w:style w:type="paragraph" w:customStyle="1" w:styleId="Annex">
    <w:name w:val="Annex"/>
    <w:basedOn w:val="Heading1"/>
    <w:next w:val="Normal"/>
    <w:qFormat/>
    <w:pPr>
      <w:numPr>
        <w:numId w:val="2"/>
      </w:numPr>
      <w:tabs>
        <w:tab w:val="left" w:pos="1701"/>
      </w:tabs>
      <w:jc w:val="both"/>
    </w:pPr>
    <w:rPr>
      <w:snapToGrid w:val="0"/>
      <w:kern w:val="0"/>
      <w:lang w:eastAsia="en-GB"/>
    </w:rPr>
  </w:style>
  <w:style w:type="paragraph" w:customStyle="1" w:styleId="AnnexFigure">
    <w:name w:val="Annex Figure"/>
    <w:basedOn w:val="Normal"/>
    <w:next w:val="Normal"/>
    <w:qFormat/>
    <w:pPr>
      <w:numPr>
        <w:numId w:val="3"/>
      </w:numPr>
      <w:spacing w:before="120" w:after="120"/>
      <w:jc w:val="center"/>
    </w:pPr>
    <w:rPr>
      <w:i/>
    </w:rPr>
  </w:style>
  <w:style w:type="paragraph" w:customStyle="1" w:styleId="AnnexHeading1">
    <w:name w:val="Annex Heading 1"/>
    <w:basedOn w:val="Normal"/>
    <w:next w:val="BodyText"/>
    <w:qFormat/>
    <w:pPr>
      <w:numPr>
        <w:numId w:val="4"/>
      </w:numPr>
      <w:spacing w:before="120" w:after="120"/>
    </w:pPr>
    <w:rPr>
      <w:rFonts w:cs="Arial"/>
      <w:b/>
      <w:caps/>
      <w:sz w:val="24"/>
    </w:rPr>
  </w:style>
  <w:style w:type="paragraph" w:customStyle="1" w:styleId="AnnexHeading2">
    <w:name w:val="Annex Heading 2"/>
    <w:basedOn w:val="Normal"/>
    <w:next w:val="BodyText"/>
    <w:qFormat/>
    <w:pPr>
      <w:numPr>
        <w:ilvl w:val="1"/>
        <w:numId w:val="4"/>
      </w:numPr>
      <w:spacing w:before="120" w:after="120"/>
    </w:pPr>
    <w:rPr>
      <w:rFonts w:cs="Arial"/>
      <w:b/>
    </w:rPr>
  </w:style>
  <w:style w:type="paragraph" w:customStyle="1" w:styleId="AnnexHeading3">
    <w:name w:val="Annex Heading 3"/>
    <w:basedOn w:val="Normal"/>
    <w:next w:val="Normal"/>
    <w:qFormat/>
    <w:pPr>
      <w:numPr>
        <w:ilvl w:val="2"/>
        <w:numId w:val="4"/>
      </w:numPr>
      <w:spacing w:before="120" w:after="120"/>
    </w:pPr>
    <w:rPr>
      <w:rFonts w:cs="Arial"/>
    </w:rPr>
  </w:style>
  <w:style w:type="paragraph" w:customStyle="1" w:styleId="AnnexHeading4">
    <w:name w:val="Annex Heading 4"/>
    <w:basedOn w:val="Normal"/>
    <w:next w:val="BodyText"/>
    <w:qFormat/>
    <w:pPr>
      <w:numPr>
        <w:ilvl w:val="3"/>
        <w:numId w:val="4"/>
      </w:numPr>
      <w:spacing w:before="120" w:after="120"/>
    </w:pPr>
    <w:rPr>
      <w:rFonts w:cs="Arial"/>
    </w:rPr>
  </w:style>
  <w:style w:type="paragraph" w:customStyle="1" w:styleId="AnnexTable">
    <w:name w:val="Annex Table"/>
    <w:basedOn w:val="Normal"/>
    <w:next w:val="Normal"/>
    <w:qFormat/>
    <w:pPr>
      <w:numPr>
        <w:numId w:val="5"/>
      </w:numPr>
      <w:tabs>
        <w:tab w:val="left" w:pos="1418"/>
      </w:tabs>
      <w:spacing w:before="120" w:after="120"/>
      <w:jc w:val="center"/>
    </w:pPr>
    <w:rPr>
      <w:i/>
    </w:rPr>
  </w:style>
  <w:style w:type="character" w:customStyle="1" w:styleId="BodyTextChar">
    <w:name w:val="Body Text Char"/>
    <w:link w:val="BodyText"/>
    <w:qFormat/>
    <w:rPr>
      <w:rFonts w:ascii="Arial" w:hAnsi="Arial" w:cs="Times New Roman"/>
      <w:szCs w:val="24"/>
    </w:rPr>
  </w:style>
  <w:style w:type="paragraph" w:customStyle="1" w:styleId="Bullet1">
    <w:name w:val="Bullet 1"/>
    <w:basedOn w:val="Normal"/>
    <w:qFormat/>
    <w:pPr>
      <w:numPr>
        <w:numId w:val="6"/>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pPr>
      <w:suppressAutoHyphens/>
      <w:spacing w:after="120"/>
      <w:ind w:left="1134"/>
      <w:jc w:val="both"/>
    </w:pPr>
    <w:rPr>
      <w:rFonts w:cs="Arial"/>
      <w:lang w:val="fr-FR"/>
    </w:rPr>
  </w:style>
  <w:style w:type="paragraph" w:customStyle="1" w:styleId="Bullet2">
    <w:name w:val="Bullet 2"/>
    <w:basedOn w:val="Normal"/>
    <w:qFormat/>
    <w:pPr>
      <w:numPr>
        <w:numId w:val="7"/>
      </w:numPr>
      <w:tabs>
        <w:tab w:val="left" w:pos="1701"/>
      </w:tabs>
      <w:spacing w:after="120"/>
      <w:ind w:left="1701" w:hanging="567"/>
      <w:jc w:val="both"/>
    </w:pPr>
    <w:rPr>
      <w:rFonts w:cs="Arial"/>
    </w:rPr>
  </w:style>
  <w:style w:type="paragraph" w:customStyle="1" w:styleId="Bullet2text">
    <w:name w:val="Bullet 2 text"/>
    <w:basedOn w:val="Normal"/>
    <w:qFormat/>
    <w:pPr>
      <w:suppressAutoHyphens/>
      <w:spacing w:after="120"/>
      <w:ind w:left="1701"/>
      <w:jc w:val="both"/>
    </w:pPr>
    <w:rPr>
      <w:rFonts w:cs="Arial"/>
    </w:rPr>
  </w:style>
  <w:style w:type="paragraph" w:customStyle="1" w:styleId="Bullet3">
    <w:name w:val="Bullet 3"/>
    <w:basedOn w:val="Normal"/>
    <w:qFormat/>
    <w:pPr>
      <w:numPr>
        <w:numId w:val="8"/>
      </w:numPr>
      <w:tabs>
        <w:tab w:val="left" w:pos="2268"/>
      </w:tabs>
      <w:spacing w:after="60"/>
      <w:ind w:left="2268" w:hanging="567"/>
      <w:jc w:val="both"/>
    </w:pPr>
    <w:rPr>
      <w:rFonts w:cs="Arial"/>
      <w:sz w:val="20"/>
    </w:rPr>
  </w:style>
  <w:style w:type="paragraph" w:customStyle="1" w:styleId="Bullet3text">
    <w:name w:val="Bullet 3 text"/>
    <w:basedOn w:val="Normal"/>
    <w:qFormat/>
    <w:pPr>
      <w:suppressAutoHyphens/>
      <w:spacing w:after="60"/>
      <w:ind w:left="2268"/>
    </w:pPr>
    <w:rPr>
      <w:rFonts w:cs="Arial"/>
      <w:sz w:val="20"/>
    </w:rPr>
  </w:style>
  <w:style w:type="paragraph" w:customStyle="1" w:styleId="Figure">
    <w:name w:val="Figure_#"/>
    <w:basedOn w:val="Normal"/>
    <w:next w:val="Normal"/>
    <w:qFormat/>
    <w:pPr>
      <w:numPr>
        <w:numId w:val="9"/>
      </w:numPr>
      <w:spacing w:before="120" w:after="120"/>
      <w:jc w:val="center"/>
    </w:pPr>
    <w:rPr>
      <w:i/>
      <w:szCs w:val="20"/>
    </w:rPr>
  </w:style>
  <w:style w:type="character" w:customStyle="1" w:styleId="FooterChar">
    <w:name w:val="Footer Char"/>
    <w:link w:val="Footer"/>
    <w:qFormat/>
    <w:rPr>
      <w:rFonts w:ascii="Arial" w:hAnsi="Arial" w:cs="Times New Roman"/>
      <w:szCs w:val="24"/>
    </w:rPr>
  </w:style>
  <w:style w:type="character" w:customStyle="1" w:styleId="HeaderChar">
    <w:name w:val="Header Char"/>
    <w:link w:val="Header"/>
    <w:qFormat/>
    <w:rPr>
      <w:rFonts w:ascii="Arial" w:eastAsia="Calibri" w:hAnsi="Arial" w:cs="Times New Roman"/>
      <w:szCs w:val="24"/>
      <w:lang w:eastAsia="en-GB"/>
    </w:rPr>
  </w:style>
  <w:style w:type="character" w:customStyle="1" w:styleId="Heading3Char">
    <w:name w:val="Heading 3 Char"/>
    <w:link w:val="Heading3"/>
    <w:qFormat/>
    <w:rPr>
      <w:rFonts w:ascii="Arial" w:hAnsi="Arial" w:cs="Calibri"/>
      <w:szCs w:val="20"/>
      <w:lang w:eastAsia="de-DE"/>
    </w:rPr>
  </w:style>
  <w:style w:type="character" w:customStyle="1" w:styleId="Heading4Char">
    <w:name w:val="Heading 4 Char"/>
    <w:link w:val="Heading4"/>
    <w:qFormat/>
    <w:rPr>
      <w:rFonts w:ascii="Arial" w:hAnsi="Arial" w:cs="Calibri"/>
      <w:szCs w:val="20"/>
      <w:lang w:val="en-US" w:eastAsia="de-DE"/>
    </w:rPr>
  </w:style>
  <w:style w:type="character" w:customStyle="1" w:styleId="Heading5Char">
    <w:name w:val="Heading 5 Char"/>
    <w:link w:val="Heading5"/>
    <w:qFormat/>
    <w:rPr>
      <w:rFonts w:ascii="Arial" w:eastAsia="Times New Roman" w:hAnsi="Arial" w:cs="Times New Roman"/>
      <w:szCs w:val="20"/>
      <w:lang w:val="de-DE" w:eastAsia="de-DE"/>
    </w:rPr>
  </w:style>
  <w:style w:type="character" w:customStyle="1" w:styleId="Heading6Char">
    <w:name w:val="Heading 6 Char"/>
    <w:link w:val="Heading6"/>
    <w:qFormat/>
    <w:rPr>
      <w:rFonts w:ascii="Arial" w:hAnsi="Arial" w:cs="Calibri"/>
      <w:szCs w:val="20"/>
      <w:lang w:val="de-DE" w:eastAsia="de-DE"/>
    </w:rPr>
  </w:style>
  <w:style w:type="character" w:customStyle="1" w:styleId="Heading7Char">
    <w:name w:val="Heading 7 Char"/>
    <w:link w:val="Heading7"/>
    <w:qFormat/>
    <w:rPr>
      <w:rFonts w:ascii="Arial" w:hAnsi="Arial" w:cs="Calibri"/>
      <w:szCs w:val="20"/>
      <w:lang w:val="de-DE" w:eastAsia="de-DE"/>
    </w:rPr>
  </w:style>
  <w:style w:type="character" w:customStyle="1" w:styleId="Heading8Char">
    <w:name w:val="Heading 8 Char"/>
    <w:link w:val="Heading8"/>
    <w:qFormat/>
    <w:rPr>
      <w:rFonts w:ascii="Arial" w:hAnsi="Arial" w:cs="Calibri"/>
      <w:szCs w:val="20"/>
      <w:lang w:val="de-DE" w:eastAsia="de-DE"/>
    </w:rPr>
  </w:style>
  <w:style w:type="character" w:customStyle="1" w:styleId="Heading9Char">
    <w:name w:val="Heading 9 Char"/>
    <w:link w:val="Heading9"/>
    <w:qFormat/>
    <w:rPr>
      <w:rFonts w:ascii="Arial" w:hAnsi="Arial" w:cs="Calibri"/>
      <w:szCs w:val="20"/>
      <w:lang w:val="de-DE" w:eastAsia="de-DE"/>
    </w:rPr>
  </w:style>
  <w:style w:type="paragraph" w:customStyle="1" w:styleId="List1">
    <w:name w:val="List 1"/>
    <w:basedOn w:val="Normal"/>
    <w:qFormat/>
    <w:pPr>
      <w:numPr>
        <w:numId w:val="10"/>
      </w:numPr>
      <w:spacing w:after="120"/>
      <w:jc w:val="both"/>
    </w:pPr>
    <w:rPr>
      <w:rFonts w:eastAsia="MS Mincho"/>
      <w:lang w:eastAsia="ja-JP"/>
    </w:rPr>
  </w:style>
  <w:style w:type="paragraph" w:customStyle="1" w:styleId="List1indent2">
    <w:name w:val="List 1 indent 2"/>
    <w:basedOn w:val="Normal"/>
    <w:qFormat/>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ind w:left="567"/>
    </w:pPr>
    <w:rPr>
      <w:rFonts w:cs="Arial"/>
    </w:rPr>
  </w:style>
  <w:style w:type="paragraph" w:customStyle="1" w:styleId="Table">
    <w:name w:val="Table_#"/>
    <w:basedOn w:val="Normal"/>
    <w:next w:val="Normal"/>
    <w:qFormat/>
    <w:pPr>
      <w:numPr>
        <w:numId w:val="11"/>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link w:val="FootnoteText"/>
    <w:semiHidden/>
    <w:qFormat/>
    <w:rPr>
      <w:rFonts w:ascii="Arial" w:eastAsia="Calibri" w:hAnsi="Arial" w:cs="Times New Roman"/>
      <w:sz w:val="18"/>
      <w:szCs w:val="20"/>
      <w:vertAlign w:val="superscript"/>
    </w:rPr>
  </w:style>
  <w:style w:type="character" w:customStyle="1" w:styleId="SubtitleChar">
    <w:name w:val="Subtitle Char"/>
    <w:link w:val="Subtitle"/>
    <w:qFormat/>
    <w:rPr>
      <w:rFonts w:ascii="Arial" w:hAnsi="Arial" w:cs="Arial"/>
      <w:szCs w:val="24"/>
    </w:rPr>
  </w:style>
  <w:style w:type="character" w:customStyle="1" w:styleId="TitleChar">
    <w:name w:val="Title Char"/>
    <w:link w:val="Title"/>
    <w:qFormat/>
    <w:rPr>
      <w:rFonts w:ascii="Arial" w:hAnsi="Arial" w:cs="Arial"/>
      <w:b/>
      <w:bCs/>
      <w:kern w:val="28"/>
      <w:sz w:val="32"/>
      <w:szCs w:val="32"/>
    </w:rPr>
  </w:style>
  <w:style w:type="paragraph" w:customStyle="1" w:styleId="List1indent1">
    <w:name w:val="List 1 indent 1"/>
    <w:basedOn w:val="Normal"/>
    <w:qFormat/>
    <w:pPr>
      <w:numPr>
        <w:ilvl w:val="1"/>
        <w:numId w:val="10"/>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numPr>
        <w:numId w:val="12"/>
      </w:numPr>
      <w:spacing w:after="120"/>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
    <w:name w:val="equation"/>
    <w:basedOn w:val="Normal"/>
    <w:next w:val="BodyText"/>
    <w:qFormat/>
    <w:pPr>
      <w:keepNext/>
      <w:numPr>
        <w:numId w:val="14"/>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pPr>
      <w:numPr>
        <w:numId w:val="15"/>
      </w:numPr>
      <w:spacing w:before="120" w:after="240"/>
      <w:ind w:left="1985" w:hanging="1985"/>
    </w:pPr>
    <w:rPr>
      <w:b/>
      <w:sz w:val="24"/>
      <w:szCs w:val="28"/>
      <w:lang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Arial" w:hAnsi="Arial" w:cs="Calibri"/>
    </w:rPr>
  </w:style>
  <w:style w:type="character" w:customStyle="1" w:styleId="CommentSubjectChar">
    <w:name w:val="Comment Subject Char"/>
    <w:basedOn w:val="CommentTextChar"/>
    <w:link w:val="CommentSubject"/>
    <w:uiPriority w:val="99"/>
    <w:semiHidden/>
    <w:qFormat/>
    <w:rPr>
      <w:rFonts w:ascii="Arial" w:hAnsi="Arial" w:cs="Calibri"/>
      <w:b/>
      <w:bCs/>
    </w:rPr>
  </w:style>
  <w:style w:type="paragraph" w:customStyle="1" w:styleId="Documentname">
    <w:name w:val="Document name"/>
    <w:basedOn w:val="Documenttype"/>
    <w:qFormat/>
    <w:pPr>
      <w:ind w:left="0" w:right="0"/>
    </w:pPr>
    <w:rPr>
      <w:b w:val="0"/>
      <w:color w:val="00558C"/>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731FA633-CD33-466D-A59C-57BA73857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D7548B-6FE8-446F-95C5-D763D2634C34}">
  <ds:schemaRefs>
    <ds:schemaRef ds:uri="http://schemas.microsoft.com/sharepoint/v3/contenttype/forms"/>
  </ds:schemaRefs>
</ds:datastoreItem>
</file>

<file path=customXml/itemProps3.xml><?xml version="1.0" encoding="utf-8"?>
<ds:datastoreItem xmlns:ds="http://schemas.openxmlformats.org/officeDocument/2006/customXml" ds:itemID="{34A5F4E5-0E52-48F1-B820-3484EF101425}">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1469</Words>
  <Characters>7613</Characters>
  <Application>Microsoft Office Word</Application>
  <DocSecurity>0</DocSecurity>
  <Lines>131</Lines>
  <Paragraphs>77</Paragraphs>
  <ScaleCrop>false</ScaleCrop>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11</cp:revision>
  <dcterms:created xsi:type="dcterms:W3CDTF">2021-01-22T19:23:00Z</dcterms:created>
  <dcterms:modified xsi:type="dcterms:W3CDTF">2026-03-19T15:02:00Z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MediaServiceImageTags">
    <vt:lpwstr/>
  </property>
  <property fmtid="{D5CDD505-2E9C-101B-9397-08002B2CF9AE}" pid="5" name="KSOProductBuildVer">
    <vt:lpwstr>2052-12.1.0.24657</vt:lpwstr>
  </property>
  <property fmtid="{D5CDD505-2E9C-101B-9397-08002B2CF9AE}" pid="6" name="ICV">
    <vt:lpwstr>28A30B0684694FE8BAC243628C5E0C6E_12</vt:lpwstr>
  </property>
  <property fmtid="{D5CDD505-2E9C-101B-9397-08002B2CF9AE}" pid="7" name="KSOTemplateDocerSaveRecord">
    <vt:lpwstr>eyJoZGlkIjoiYWY1YTg4YWM5YzQ2MzM0MzkzMzMxMjc0M2EzZGI3NDUiLCJ1c2VySWQiOiIxMDI5Njg2ODMyIn0=</vt:lpwstr>
  </property>
  <property fmtid="{D5CDD505-2E9C-101B-9397-08002B2CF9AE}" pid="8" name="GrammarlyDocumentId">
    <vt:lpwstr>da6726c5-c925-45c1-af0e-df80d62af3d6</vt:lpwstr>
  </property>
</Properties>
</file>